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left="300" w:right="300"/>
        <w:jc w:val="center"/>
        <w:outlineLvl w:val="1"/>
        <w:rPr>
          <w:rFonts w:ascii="宋体" w:hAnsi="宋体" w:cs="宋体"/>
          <w:sz w:val="44"/>
          <w:szCs w:val="44"/>
        </w:rPr>
      </w:pPr>
    </w:p>
    <w:p>
      <w:pPr>
        <w:shd w:val="clear" w:color="auto" w:fill="FFFFFF"/>
        <w:ind w:left="300" w:right="300"/>
        <w:jc w:val="center"/>
        <w:outlineLvl w:val="1"/>
        <w:rPr>
          <w:rFonts w:eastAsia="仿宋"/>
          <w:sz w:val="32"/>
        </w:rPr>
      </w:pPr>
      <w:r>
        <w:rPr>
          <w:rFonts w:hint="eastAsia" w:eastAsia="仿宋"/>
          <w:sz w:val="32"/>
        </w:rPr>
        <w:t xml:space="preserve">                    </w:t>
      </w:r>
    </w:p>
    <w:p>
      <w:pPr>
        <w:spacing w:after="0" w:line="0" w:lineRule="atLeast"/>
        <w:jc w:val="center"/>
        <w:rPr>
          <w:rFonts w:hint="eastAsia" w:ascii="方正小标宋简体" w:hAnsi="方正小标宋简体" w:eastAsia="方正小标宋简体" w:cs="方正小标宋简体"/>
          <w:sz w:val="44"/>
          <w:szCs w:val="44"/>
          <w:lang w:val="en-US" w:eastAsia="zh-CN"/>
        </w:rPr>
      </w:pPr>
      <w:bookmarkStart w:id="0" w:name="OLE_LINK2"/>
      <w:r>
        <w:rPr>
          <w:rFonts w:hint="eastAsia" w:ascii="方正小标宋简体" w:hAnsi="方正小标宋简体" w:eastAsia="方正小标宋简体" w:cs="方正小标宋简体"/>
          <w:sz w:val="44"/>
          <w:szCs w:val="44"/>
          <w:lang w:val="en-US" w:eastAsia="zh-CN"/>
        </w:rPr>
        <w:t>关于汕尾高新技术产业开发区红草园区</w:t>
      </w:r>
    </w:p>
    <w:p>
      <w:pPr>
        <w:spacing w:after="0" w:line="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启动区水土保持区域评估取得</w:t>
      </w:r>
    </w:p>
    <w:p>
      <w:pPr>
        <w:spacing w:after="0" w:line="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广东省水利厅批复的公告</w:t>
      </w:r>
    </w:p>
    <w:bookmarkEnd w:id="0"/>
    <w:p>
      <w:pPr>
        <w:spacing w:after="0" w:line="600" w:lineRule="exact"/>
        <w:jc w:val="both"/>
        <w:rPr>
          <w:rFonts w:ascii="仿宋" w:hAnsi="仿宋" w:eastAsia="仿宋"/>
          <w:sz w:val="32"/>
          <w:szCs w:val="32"/>
        </w:rPr>
      </w:pPr>
    </w:p>
    <w:p>
      <w:pPr>
        <w:spacing w:after="0" w:line="600" w:lineRule="exact"/>
        <w:ind w:firstLine="640" w:firstLineChars="200"/>
        <w:jc w:val="both"/>
        <w:rPr>
          <w:rFonts w:hint="eastAsia" w:ascii="Times New Roman" w:hAnsi="Times New Roman" w:eastAsia="仿宋"/>
          <w:sz w:val="32"/>
          <w:szCs w:val="32"/>
          <w:lang w:val="en-US" w:eastAsia="zh-CN"/>
        </w:rPr>
      </w:pPr>
      <w:bookmarkStart w:id="1" w:name="OLE_LINK4"/>
      <w:r>
        <w:rPr>
          <w:rFonts w:hint="eastAsia" w:ascii="Times New Roman" w:hAnsi="Times New Roman" w:eastAsia="仿宋"/>
          <w:sz w:val="32"/>
          <w:szCs w:val="32"/>
          <w:lang w:val="en-US" w:eastAsia="zh-CN"/>
        </w:rPr>
        <w:t>为更好更快方便企业和群众办事，进一步提高工程建设项目审批效率，减轻企业负担，节约社会资源，加快工程建设项目落地，</w:t>
      </w:r>
      <w:r>
        <w:rPr>
          <w:rFonts w:hint="eastAsia" w:ascii="仿宋" w:hAnsi="仿宋" w:eastAsia="仿宋" w:cs="仿宋"/>
          <w:sz w:val="32"/>
          <w:szCs w:val="32"/>
          <w:lang w:val="en-US" w:eastAsia="zh-CN"/>
        </w:rPr>
        <w:t>根据《中共汕尾市委办公室 汕尾市人民政府办公室关于印发&lt;汕尾市“营商环境优化年”行动方案&gt;的通知》（汕尾委办字</w:t>
      </w:r>
      <w:r>
        <w:rPr>
          <w:rFonts w:hint="eastAsia" w:ascii="仿宋" w:hAnsi="仿宋" w:eastAsia="仿宋" w:cs="仿宋"/>
          <w:sz w:val="32"/>
          <w:szCs w:val="32"/>
        </w:rPr>
        <w:t>〔2020〕</w:t>
      </w:r>
      <w:r>
        <w:rPr>
          <w:rFonts w:hint="eastAsia" w:ascii="仿宋" w:hAnsi="仿宋" w:eastAsia="仿宋" w:cs="仿宋"/>
          <w:sz w:val="32"/>
          <w:szCs w:val="32"/>
          <w:lang w:val="en-US" w:eastAsia="zh-CN"/>
        </w:rPr>
        <w:t>31号）和</w:t>
      </w:r>
      <w:bookmarkStart w:id="2" w:name="OLE_LINK6"/>
      <w:r>
        <w:rPr>
          <w:rFonts w:hint="eastAsia" w:ascii="仿宋" w:hAnsi="仿宋" w:eastAsia="仿宋" w:cs="仿宋"/>
          <w:sz w:val="32"/>
          <w:szCs w:val="32"/>
          <w:lang w:val="en-US" w:eastAsia="zh-CN"/>
        </w:rPr>
        <w:t>《关于重新印发&lt;关于进一步深化&lt;汕尾市工程建设项目审批制度改革实施方案&gt;的工作意见&gt;的通知》</w:t>
      </w:r>
      <w:bookmarkEnd w:id="2"/>
      <w:r>
        <w:rPr>
          <w:rFonts w:hint="eastAsia" w:ascii="仿宋" w:hAnsi="仿宋" w:eastAsia="仿宋" w:cs="仿宋"/>
          <w:sz w:val="32"/>
          <w:szCs w:val="32"/>
          <w:lang w:val="en-US" w:eastAsia="zh-CN"/>
        </w:rPr>
        <w:t>（汕审改办</w:t>
      </w:r>
      <w:r>
        <w:rPr>
          <w:rFonts w:hint="eastAsia" w:ascii="仿宋" w:hAnsi="仿宋" w:eastAsia="仿宋" w:cs="仿宋"/>
          <w:sz w:val="32"/>
          <w:szCs w:val="32"/>
        </w:rPr>
        <w:t>〔2020〕</w:t>
      </w:r>
      <w:r>
        <w:rPr>
          <w:rFonts w:hint="eastAsia" w:ascii="仿宋" w:hAnsi="仿宋" w:eastAsia="仿宋" w:cs="仿宋"/>
          <w:sz w:val="32"/>
          <w:szCs w:val="32"/>
          <w:lang w:val="en-US" w:eastAsia="zh-CN"/>
        </w:rPr>
        <w:t>16号）文件精神</w:t>
      </w:r>
      <w:r>
        <w:rPr>
          <w:rFonts w:hint="eastAsia" w:ascii="Times New Roman" w:hAnsi="Times New Roman" w:eastAsia="仿宋"/>
          <w:sz w:val="32"/>
          <w:szCs w:val="32"/>
          <w:lang w:val="en-US" w:eastAsia="zh-CN"/>
        </w:rPr>
        <w:t>，我委启动了汕尾高新技术产业开发区红草园区启动区水土保持区域评估工作，已于2021年2月10日取得广东省水利厅批复，现将有关事项公告如下：</w:t>
      </w:r>
    </w:p>
    <w:p>
      <w:pPr>
        <w:numPr>
          <w:ilvl w:val="0"/>
          <w:numId w:val="1"/>
        </w:numPr>
        <w:spacing w:after="0"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水土保持区域评估范围</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汕尾高新区红草园区现有控规1105.14公顷范围内。</w:t>
      </w:r>
    </w:p>
    <w:p>
      <w:pPr>
        <w:numPr>
          <w:ilvl w:val="0"/>
          <w:numId w:val="1"/>
        </w:numPr>
        <w:spacing w:after="0"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成果共享</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入园建设项目（除例外清单项目以外）可依据已批复的评估成果不再进行水土保持评估工作。例外清单如下：</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（一）交通、水利、能源等领域的重大工程及特殊工程；</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（二）国家负责审批水土保持方案的生产建设项目；</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（三）挖、填土石方总量在二十万立方米以上且占地面积在20公顷以上项目；</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（四）涉及到在饮用水水源保护区、泥石流易发区和崩岗、滑坡危险区及自然保护地的工程建设项目。</w:t>
      </w:r>
    </w:p>
    <w:p>
      <w:pPr>
        <w:spacing w:after="0"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三、执行标准</w:t>
      </w:r>
    </w:p>
    <w:p>
      <w:pPr>
        <w:spacing w:after="0" w:line="60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水土流失防治执行南方红壤区建设类项目二级标准。</w:t>
      </w:r>
    </w:p>
    <w:bookmarkEnd w:id="1"/>
    <w:p>
      <w:pPr>
        <w:spacing w:after="0" w:line="560" w:lineRule="exact"/>
        <w:ind w:right="16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四、有关工作要求</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落实主体责任。项目法人单位是水土流失预防和治理工作的责任主体，应按照水土保持三同时”制度的要求，加强对水土保持工作的管理，招投标文件和施工合同应明确水土流失防治的职责，落实好防治施组织开展水土保持宣传和知识培训，提高施工单位和人员的水土保持意识。</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（二）制定水土保持工作管理制度。将水土保持工作纳入日常工作管理，明确水土保持目标、任务与要求，落实责任跟踪与奖惩措施，形成工作制度，定期检查落实。</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（三）做好水土保持工程的后续设计工作。水土保持工程的初步设计和施工图设计应与主体工程设计同步开展，报主体工程审查审批部门办理水土保持工程的初步设计和施工图设计的审查审批手续。</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四）强化施工期预防保护措施施工组织设计和施工时序安排上应充分体现预防为主的原则，严格控制好各阶段的施工用地范围，减少植被破坏和土地扰动面积，缩短地表的裸露时间施工结束后，应及时恢复迹地植被。施工建设期间应注重做好场地内临时排水、拦挡、覆盖等措施，落实绿化措施，防止水土流失危害。</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（五）切实做好水土保持监测工作，加强水土流失动态监控。按时向项目所涉及的水行政主管部门提交水土保持监测季度报告。</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（六）做好水土保持监理工作，明确水土保持分部工程及单项工程的划分，确保水土保持工程质量，根据建设进度及时做好水土保持分部工程及单元工程的验收工作。</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（七）项目主体工程竣工验收时，应依照有关法规的规定及时办理水土保持设施验收手续。</w:t>
      </w:r>
    </w:p>
    <w:p>
      <w:pPr>
        <w:spacing w:after="0" w:line="560" w:lineRule="exact"/>
        <w:ind w:right="16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（八）配合做好监督检查工作。广东省水利厅及汕尾市水务局将对水土保持区域评估的实施情况进行监督检查，请各参建主体责任单位配合做好相关工作。</w:t>
      </w:r>
    </w:p>
    <w:p>
      <w:pPr>
        <w:spacing w:after="0" w:line="560" w:lineRule="exact"/>
        <w:ind w:right="160" w:firstLine="640" w:firstLineChars="200"/>
        <w:jc w:val="left"/>
        <w:rPr>
          <w:rFonts w:hint="eastAsia" w:ascii="仿宋" w:hAnsi="仿宋" w:eastAsia="仿宋"/>
          <w:sz w:val="32"/>
          <w:szCs w:val="32"/>
          <w:lang w:val="en-US" w:eastAsia="zh-CN"/>
        </w:rPr>
      </w:pPr>
    </w:p>
    <w:p>
      <w:pPr>
        <w:spacing w:after="0" w:line="560" w:lineRule="exact"/>
        <w:ind w:right="160" w:firstLine="640" w:firstLineChars="200"/>
        <w:jc w:val="left"/>
        <w:rPr>
          <w:rFonts w:hint="eastAsia" w:ascii="仿宋" w:hAnsi="仿宋" w:eastAsia="仿宋"/>
          <w:sz w:val="32"/>
          <w:szCs w:val="32"/>
          <w:lang w:val="en-US" w:eastAsia="zh-CN"/>
        </w:rPr>
      </w:pPr>
    </w:p>
    <w:p>
      <w:pPr>
        <w:spacing w:after="0" w:line="560" w:lineRule="exact"/>
        <w:ind w:right="160" w:firstLine="640" w:firstLineChars="200"/>
        <w:jc w:val="left"/>
        <w:rPr>
          <w:rFonts w:ascii="仿宋" w:hAnsi="仿宋" w:eastAsia="仿宋"/>
          <w:sz w:val="32"/>
          <w:szCs w:val="32"/>
        </w:rPr>
      </w:pPr>
    </w:p>
    <w:p>
      <w:pPr>
        <w:spacing w:after="0" w:line="560" w:lineRule="exact"/>
        <w:ind w:right="160" w:firstLine="640" w:firstLineChars="200"/>
        <w:jc w:val="left"/>
        <w:rPr>
          <w:rFonts w:ascii="仿宋" w:hAnsi="仿宋" w:eastAsia="仿宋"/>
          <w:sz w:val="32"/>
          <w:szCs w:val="32"/>
        </w:rPr>
      </w:pPr>
    </w:p>
    <w:p>
      <w:pPr>
        <w:wordWrap w:val="0"/>
        <w:spacing w:after="0" w:line="560" w:lineRule="exact"/>
        <w:ind w:right="160" w:firstLine="640" w:firstLineChars="200"/>
        <w:jc w:val="right"/>
        <w:rPr>
          <w:rFonts w:ascii="仿宋" w:hAnsi="仿宋" w:eastAsia="仿宋"/>
          <w:sz w:val="32"/>
          <w:szCs w:val="32"/>
        </w:rPr>
      </w:pPr>
      <w:r>
        <w:rPr>
          <w:rFonts w:hint="eastAsia" w:ascii="仿宋" w:hAnsi="仿宋" w:eastAsia="仿宋"/>
          <w:sz w:val="32"/>
          <w:szCs w:val="32"/>
        </w:rPr>
        <w:t>汕尾新区管</w:t>
      </w:r>
      <w:r>
        <w:rPr>
          <w:rFonts w:hint="eastAsia" w:ascii="仿宋" w:hAnsi="仿宋" w:eastAsia="仿宋"/>
          <w:sz w:val="32"/>
          <w:szCs w:val="32"/>
          <w:lang w:val="en-US" w:eastAsia="zh-CN"/>
        </w:rPr>
        <w:t>理</w:t>
      </w:r>
      <w:r>
        <w:rPr>
          <w:rFonts w:hint="eastAsia" w:ascii="仿宋" w:hAnsi="仿宋" w:eastAsia="仿宋"/>
          <w:sz w:val="32"/>
          <w:szCs w:val="32"/>
        </w:rPr>
        <w:t>委</w:t>
      </w:r>
      <w:r>
        <w:rPr>
          <w:rFonts w:hint="eastAsia" w:ascii="仿宋" w:hAnsi="仿宋" w:eastAsia="仿宋"/>
          <w:sz w:val="32"/>
          <w:szCs w:val="32"/>
          <w:lang w:val="en-US" w:eastAsia="zh-CN"/>
        </w:rPr>
        <w:t>员</w:t>
      </w:r>
      <w:r>
        <w:rPr>
          <w:rFonts w:hint="eastAsia" w:ascii="仿宋" w:hAnsi="仿宋" w:eastAsia="仿宋"/>
          <w:sz w:val="32"/>
          <w:szCs w:val="32"/>
        </w:rPr>
        <w:t xml:space="preserve">会 </w:t>
      </w:r>
      <w:r>
        <w:rPr>
          <w:rFonts w:hint="eastAsia" w:ascii="仿宋" w:hAnsi="仿宋" w:eastAsia="仿宋"/>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line="560" w:lineRule="exact"/>
        <w:ind w:left="0" w:leftChars="0" w:right="880" w:rightChars="400" w:firstLine="640" w:firstLineChars="200"/>
        <w:jc w:val="right"/>
        <w:textAlignment w:val="auto"/>
        <w:outlineLvl w:val="9"/>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20</w:t>
      </w:r>
      <w:bookmarkStart w:id="3" w:name="_GoBack"/>
      <w:bookmarkEnd w:id="3"/>
      <w:r>
        <w:rPr>
          <w:rFonts w:hint="eastAsia" w:ascii="仿宋" w:hAnsi="仿宋" w:eastAsia="仿宋"/>
          <w:sz w:val="32"/>
          <w:szCs w:val="32"/>
        </w:rPr>
        <w:t>日</w:t>
      </w:r>
    </w:p>
    <w:sectPr>
      <w:pgSz w:w="11907" w:h="16839"/>
      <w:pgMar w:top="1440" w:right="1701"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mmercialPi BT">
    <w:panose1 w:val="05020102010206080802"/>
    <w:charset w:val="00"/>
    <w:family w:val="auto"/>
    <w:pitch w:val="default"/>
    <w:sig w:usb0="00000000" w:usb1="00000000" w:usb2="00000000" w:usb3="00000000" w:csb0="00000000" w:csb1="00000000"/>
  </w:font>
  <w:font w:name="MingLiU">
    <w:altName w:val="PMingLiU-ExtB"/>
    <w:panose1 w:val="02020309000000000000"/>
    <w:charset w:val="88"/>
    <w:family w:val="moder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宋体 ，Arial">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宋体.....">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F2C51"/>
    <w:multiLevelType w:val="singleLevel"/>
    <w:tmpl w:val="602F2C5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5D1B"/>
    <w:rsid w:val="0007648E"/>
    <w:rsid w:val="000A1C7B"/>
    <w:rsid w:val="000C7E9A"/>
    <w:rsid w:val="000F7824"/>
    <w:rsid w:val="0016508C"/>
    <w:rsid w:val="001962B6"/>
    <w:rsid w:val="001C238B"/>
    <w:rsid w:val="00206858"/>
    <w:rsid w:val="00275590"/>
    <w:rsid w:val="002909FE"/>
    <w:rsid w:val="00323B43"/>
    <w:rsid w:val="00371669"/>
    <w:rsid w:val="00392A2F"/>
    <w:rsid w:val="00395D35"/>
    <w:rsid w:val="003B3B81"/>
    <w:rsid w:val="003B626C"/>
    <w:rsid w:val="003D37D8"/>
    <w:rsid w:val="003F11AE"/>
    <w:rsid w:val="00426133"/>
    <w:rsid w:val="004358AB"/>
    <w:rsid w:val="0045750A"/>
    <w:rsid w:val="0049269D"/>
    <w:rsid w:val="004E3DF3"/>
    <w:rsid w:val="00527D71"/>
    <w:rsid w:val="00560A69"/>
    <w:rsid w:val="00617647"/>
    <w:rsid w:val="00634B1E"/>
    <w:rsid w:val="00657ABA"/>
    <w:rsid w:val="006653EE"/>
    <w:rsid w:val="006D191E"/>
    <w:rsid w:val="0070021E"/>
    <w:rsid w:val="007077AC"/>
    <w:rsid w:val="00745D2B"/>
    <w:rsid w:val="00852F9C"/>
    <w:rsid w:val="0086009B"/>
    <w:rsid w:val="00874689"/>
    <w:rsid w:val="008B753F"/>
    <w:rsid w:val="008B7726"/>
    <w:rsid w:val="00913995"/>
    <w:rsid w:val="009839EB"/>
    <w:rsid w:val="009F6C0F"/>
    <w:rsid w:val="00AC534B"/>
    <w:rsid w:val="00AC62A3"/>
    <w:rsid w:val="00AD08F4"/>
    <w:rsid w:val="00B20384"/>
    <w:rsid w:val="00B809FC"/>
    <w:rsid w:val="00BA7861"/>
    <w:rsid w:val="00C34BFF"/>
    <w:rsid w:val="00C66A12"/>
    <w:rsid w:val="00D31D50"/>
    <w:rsid w:val="00D370E1"/>
    <w:rsid w:val="00D52155"/>
    <w:rsid w:val="00D52469"/>
    <w:rsid w:val="00D55F6D"/>
    <w:rsid w:val="00E85674"/>
    <w:rsid w:val="00E91CD2"/>
    <w:rsid w:val="00EB3D43"/>
    <w:rsid w:val="00EF55C3"/>
    <w:rsid w:val="00F90C61"/>
    <w:rsid w:val="00F96DC0"/>
    <w:rsid w:val="00FB338C"/>
    <w:rsid w:val="00FC07B3"/>
    <w:rsid w:val="00FC667D"/>
    <w:rsid w:val="01E000BA"/>
    <w:rsid w:val="026D6F7C"/>
    <w:rsid w:val="03900B7B"/>
    <w:rsid w:val="04187A96"/>
    <w:rsid w:val="04C1607F"/>
    <w:rsid w:val="06C63CD3"/>
    <w:rsid w:val="07A001AD"/>
    <w:rsid w:val="095B3FEA"/>
    <w:rsid w:val="098946B9"/>
    <w:rsid w:val="09CD50F8"/>
    <w:rsid w:val="0C095AD9"/>
    <w:rsid w:val="0DBE57DE"/>
    <w:rsid w:val="0F0322D1"/>
    <w:rsid w:val="0F726B15"/>
    <w:rsid w:val="10211295"/>
    <w:rsid w:val="13424907"/>
    <w:rsid w:val="134864BE"/>
    <w:rsid w:val="1359376A"/>
    <w:rsid w:val="1386470C"/>
    <w:rsid w:val="15000F08"/>
    <w:rsid w:val="15436793"/>
    <w:rsid w:val="168C1346"/>
    <w:rsid w:val="177229FD"/>
    <w:rsid w:val="17831C3A"/>
    <w:rsid w:val="1B0817ED"/>
    <w:rsid w:val="226A5FC0"/>
    <w:rsid w:val="22A323A3"/>
    <w:rsid w:val="22E17218"/>
    <w:rsid w:val="24A15B5C"/>
    <w:rsid w:val="262E1EE3"/>
    <w:rsid w:val="264C21A2"/>
    <w:rsid w:val="26F52FE2"/>
    <w:rsid w:val="28526643"/>
    <w:rsid w:val="2ADA552C"/>
    <w:rsid w:val="2B770462"/>
    <w:rsid w:val="2BAA26FD"/>
    <w:rsid w:val="2D767F28"/>
    <w:rsid w:val="2DA728EC"/>
    <w:rsid w:val="2DF06C93"/>
    <w:rsid w:val="2E3F4563"/>
    <w:rsid w:val="2E904F80"/>
    <w:rsid w:val="2F8F4BC9"/>
    <w:rsid w:val="32A506FA"/>
    <w:rsid w:val="335D464F"/>
    <w:rsid w:val="34C638C7"/>
    <w:rsid w:val="35D1184E"/>
    <w:rsid w:val="35EF734D"/>
    <w:rsid w:val="361C50E4"/>
    <w:rsid w:val="39C7580C"/>
    <w:rsid w:val="3B077C70"/>
    <w:rsid w:val="3C47233B"/>
    <w:rsid w:val="3D973E05"/>
    <w:rsid w:val="3EB00937"/>
    <w:rsid w:val="40B97DE0"/>
    <w:rsid w:val="40E24F2B"/>
    <w:rsid w:val="416F4550"/>
    <w:rsid w:val="41AB136B"/>
    <w:rsid w:val="42A319F2"/>
    <w:rsid w:val="448E7059"/>
    <w:rsid w:val="454C0C85"/>
    <w:rsid w:val="45FF0489"/>
    <w:rsid w:val="464A30F5"/>
    <w:rsid w:val="465170A4"/>
    <w:rsid w:val="47A524AC"/>
    <w:rsid w:val="47B17639"/>
    <w:rsid w:val="498D4426"/>
    <w:rsid w:val="4AB85877"/>
    <w:rsid w:val="4CD9554B"/>
    <w:rsid w:val="4FA10F61"/>
    <w:rsid w:val="52053149"/>
    <w:rsid w:val="520A7A55"/>
    <w:rsid w:val="533A58C5"/>
    <w:rsid w:val="535F4430"/>
    <w:rsid w:val="547B456C"/>
    <w:rsid w:val="54DE4A9A"/>
    <w:rsid w:val="56226F79"/>
    <w:rsid w:val="58C7725A"/>
    <w:rsid w:val="5AED419A"/>
    <w:rsid w:val="5BCB26A4"/>
    <w:rsid w:val="5CDE0C47"/>
    <w:rsid w:val="5D4214AA"/>
    <w:rsid w:val="63402896"/>
    <w:rsid w:val="64E7379A"/>
    <w:rsid w:val="68F85691"/>
    <w:rsid w:val="6B9F6B53"/>
    <w:rsid w:val="6CD53131"/>
    <w:rsid w:val="6DAC5CAF"/>
    <w:rsid w:val="6E2751BD"/>
    <w:rsid w:val="6FCF1F05"/>
    <w:rsid w:val="71802C56"/>
    <w:rsid w:val="71885C5A"/>
    <w:rsid w:val="754C78FF"/>
    <w:rsid w:val="75C20C11"/>
    <w:rsid w:val="77092D0D"/>
    <w:rsid w:val="77F6464D"/>
    <w:rsid w:val="794D7A37"/>
    <w:rsid w:val="79CC1D15"/>
    <w:rsid w:val="7E207B2C"/>
    <w:rsid w:val="7F133692"/>
    <w:rsid w:val="7F52340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日期 Char"/>
    <w:basedOn w:val="5"/>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Lines>1</Lines>
  <Paragraphs>1</Paragraphs>
  <ScaleCrop>false</ScaleCrop>
  <LinksUpToDate>false</LinksUpToDate>
  <CharactersWithSpaces>276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2019-07-19T07:50:00Z</dcterms:created>
  <dc:creator>Administrator</dc:creator>
  <cp:lastModifiedBy>Administrator</cp:lastModifiedBy>
  <cp:lastPrinted>2021-01-12T03:43:00Z</cp:lastPrinted>
  <dcterms:modified xsi:type="dcterms:W3CDTF">2021-02-20T07:55:57Z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