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i w:val="0"/>
          <w:iCs w:val="0"/>
          <w:caps w:val="0"/>
          <w:color w:val="000000"/>
          <w:spacing w:val="0"/>
          <w:sz w:val="44"/>
          <w:szCs w:val="44"/>
          <w:shd w:val="clear" w:fill="FFFFFF"/>
        </w:rPr>
      </w:pPr>
      <w:r>
        <w:rPr>
          <w:rFonts w:hint="eastAsia" w:asciiTheme="majorEastAsia" w:hAnsiTheme="majorEastAsia" w:eastAsiaTheme="majorEastAsia" w:cstheme="majorEastAsia"/>
          <w:b/>
          <w:bCs/>
          <w:i w:val="0"/>
          <w:iCs w:val="0"/>
          <w:caps w:val="0"/>
          <w:color w:val="000000"/>
          <w:spacing w:val="0"/>
          <w:sz w:val="44"/>
          <w:szCs w:val="44"/>
          <w:shd w:val="clear" w:fill="FFFFFF"/>
          <w:lang w:val="en-US" w:eastAsia="zh-CN"/>
        </w:rPr>
        <w:t>汕尾高新区行政许可信息公开</w:t>
      </w:r>
    </w:p>
    <w:p>
      <w:pPr>
        <w:numPr>
          <w:ilvl w:val="0"/>
          <w:numId w:val="0"/>
        </w:numPr>
        <w:rPr>
          <w:rFonts w:hint="eastAsia" w:asciiTheme="minorEastAsia" w:hAnsiTheme="minorEastAsia" w:eastAsiaTheme="minorEastAsia" w:cstheme="minorEastAsia"/>
          <w:b w:val="0"/>
          <w:bCs w:val="0"/>
          <w:i w:val="0"/>
          <w:iCs w:val="0"/>
          <w:caps w:val="0"/>
          <w:color w:val="000000"/>
          <w:spacing w:val="0"/>
          <w:sz w:val="32"/>
          <w:szCs w:val="32"/>
          <w:shd w:val="clear" w:fill="FFFFFF"/>
        </w:rPr>
      </w:pPr>
    </w:p>
    <w:p>
      <w:pPr>
        <w:numPr>
          <w:ilvl w:val="0"/>
          <w:numId w:val="0"/>
        </w:numPr>
        <w:rPr>
          <w:rFonts w:hint="eastAsia" w:asciiTheme="minorEastAsia" w:hAnsiTheme="minorEastAsia" w:eastAsiaTheme="minorEastAsia" w:cstheme="minorEastAsia"/>
          <w:b w:val="0"/>
          <w:bCs w:val="0"/>
          <w:i w:val="0"/>
          <w:iCs w:val="0"/>
          <w:caps w:val="0"/>
          <w:color w:val="000000"/>
          <w:spacing w:val="0"/>
          <w:sz w:val="32"/>
          <w:szCs w:val="32"/>
          <w:shd w:val="clear" w:fill="FFFFFF"/>
        </w:rPr>
      </w:pPr>
      <w:r>
        <w:rPr>
          <w:rFonts w:hint="eastAsia" w:asciiTheme="minorEastAsia" w:hAnsiTheme="minorEastAsia" w:cstheme="minorEastAsia"/>
          <w:b w:val="0"/>
          <w:bCs w:val="0"/>
          <w:i w:val="0"/>
          <w:iCs w:val="0"/>
          <w:caps w:val="0"/>
          <w:color w:val="000000"/>
          <w:spacing w:val="0"/>
          <w:sz w:val="32"/>
          <w:szCs w:val="32"/>
          <w:shd w:val="clear" w:fill="FFFFFF"/>
          <w:lang w:val="en-US" w:eastAsia="zh-CN"/>
        </w:rPr>
        <w:t>一、</w:t>
      </w:r>
      <w:r>
        <w:rPr>
          <w:rFonts w:hint="eastAsia" w:asciiTheme="minorEastAsia" w:hAnsiTheme="minorEastAsia" w:eastAsiaTheme="minorEastAsia" w:cstheme="minorEastAsia"/>
          <w:b w:val="0"/>
          <w:bCs w:val="0"/>
          <w:i w:val="0"/>
          <w:iCs w:val="0"/>
          <w:caps w:val="0"/>
          <w:color w:val="000000"/>
          <w:spacing w:val="0"/>
          <w:sz w:val="32"/>
          <w:szCs w:val="32"/>
          <w:shd w:val="clear" w:fill="FFFFFF"/>
        </w:rPr>
        <w:t>建筑工程施工许可证变更</w:t>
      </w:r>
      <w:r>
        <w:rPr>
          <w:rFonts w:hint="eastAsia" w:asciiTheme="minorEastAsia" w:hAnsiTheme="minorEastAsia" w:eastAsiaTheme="minorEastAsia" w:cstheme="minorEastAsia"/>
          <w:i w:val="0"/>
          <w:iCs w:val="0"/>
          <w:caps w:val="0"/>
          <w:color w:val="000000"/>
          <w:spacing w:val="0"/>
          <w:sz w:val="32"/>
          <w:szCs w:val="32"/>
          <w:shd w:val="clear" w:fill="FFFFFF"/>
        </w:rPr>
        <w:t>（延长施工许可）</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"http://www.gd.gov.cn/zwgk/wjk/zcfgk/content/post_2711515.html"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《广东省人民政府2012年行政审批制度改革事项目录（第一批）》</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2012年粤府令第169号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"http://www.gd.gov.cn/zwgk/wjk/zcfgk/content/post_2712290.html"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《广东省人民政府关于将一批省级行政职权事项调整由广州、深圳市实施的决定》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2017年广东省人民政府令第241号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"http://www.gd.gov.cn/zwgk/wjk/zcfgk/content/post_2524570.html"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《建筑工程施工许可管理办法》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（2014年住建部令第18号）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"http://www.gd.gov.cn/zwgk/wjk/zcfgk/content/post_2531720.html"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《广东省住房和城乡建设厅关于下放省管大型建筑工程项目施工许可证核发等事项有关工作的通知》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粤建市〔2018〕85号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"http://www.gd.gov.cn/zwgk/wjk/zcfgk/content/post_2520660.html"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《中华人民共和国建筑法》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主席令第46号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"http://www.gd.gov.cn/zwgk/wjk/zcfgk/content/post_2724813.html"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广东省住房和城乡建设厅关于调整房屋建筑和市政基础设施工程施工许可证办理限额的通知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w:t>
      </w:r>
    </w:p>
    <w:p>
      <w:pPr>
        <w:numPr>
          <w:ilvl w:val="0"/>
          <w:numId w:val="0"/>
        </w:numPr>
        <w:ind w:left="638" w:leftChars="304" w:firstLine="0" w:firstLineChars="0"/>
        <w:jc w:val="left"/>
        <w:rPr>
          <w:rFonts w:hint="eastAsia" w:ascii="仿宋" w:hAnsi="仿宋" w:eastAsia="仿宋" w:cs="仿宋"/>
          <w:b w:val="0"/>
          <w:bCs w:val="0"/>
          <w:i w:val="0"/>
          <w:iCs w:val="0"/>
          <w:caps w:val="0"/>
          <w:color w:val="000000"/>
          <w:spacing w:val="0"/>
          <w:sz w:val="32"/>
          <w:szCs w:val="32"/>
          <w:shd w:val="clear" w:fill="FFFFFF"/>
          <w:lang w:val="en-US" w:eastAsia="zh-CN"/>
        </w:rPr>
      </w:pPr>
    </w:p>
    <w:p>
      <w:pPr>
        <w:numPr>
          <w:ilvl w:val="0"/>
          <w:numId w:val="0"/>
        </w:numPr>
        <w:rPr>
          <w:rFonts w:hint="eastAsia" w:asciiTheme="minorEastAsia" w:hAnsiTheme="minorEastAsia" w:eastAsiaTheme="minorEastAsia" w:cstheme="minorEastAsia"/>
          <w:b w:val="0"/>
          <w:bCs w:val="0"/>
          <w:i w:val="0"/>
          <w:iCs w:val="0"/>
          <w:caps w:val="0"/>
          <w:color w:val="000000"/>
          <w:spacing w:val="0"/>
          <w:sz w:val="32"/>
          <w:szCs w:val="32"/>
          <w:shd w:val="clear" w:fill="FFFFFF"/>
        </w:rPr>
      </w:pPr>
      <w:r>
        <w:rPr>
          <w:rFonts w:hint="eastAsia" w:asciiTheme="minorEastAsia" w:hAnsiTheme="minorEastAsia" w:cstheme="minorEastAsia"/>
          <w:b w:val="0"/>
          <w:bCs w:val="0"/>
          <w:i w:val="0"/>
          <w:iCs w:val="0"/>
          <w:caps w:val="0"/>
          <w:color w:val="000000"/>
          <w:spacing w:val="0"/>
          <w:sz w:val="32"/>
          <w:szCs w:val="32"/>
          <w:shd w:val="clear" w:fill="FFFFFF"/>
          <w:lang w:val="en-US" w:eastAsia="zh-CN"/>
        </w:rPr>
        <w:t>二、</w:t>
      </w:r>
      <w:r>
        <w:rPr>
          <w:rFonts w:hint="eastAsia" w:asciiTheme="minorEastAsia" w:hAnsiTheme="minorEastAsia" w:eastAsiaTheme="minorEastAsia" w:cstheme="minorEastAsia"/>
          <w:b w:val="0"/>
          <w:bCs w:val="0"/>
          <w:i w:val="0"/>
          <w:iCs w:val="0"/>
          <w:caps w:val="0"/>
          <w:color w:val="000000"/>
          <w:spacing w:val="0"/>
          <w:sz w:val="32"/>
          <w:szCs w:val="32"/>
          <w:shd w:val="clear" w:fill="FFFFFF"/>
        </w:rPr>
        <w:t>建筑工程施工许可证变更</w:t>
      </w:r>
      <w:r>
        <w:rPr>
          <w:rFonts w:hint="eastAsia" w:asciiTheme="minorEastAsia" w:hAnsiTheme="minorEastAsia" w:eastAsiaTheme="minorEastAsia" w:cstheme="minorEastAsia"/>
          <w:i w:val="0"/>
          <w:iCs w:val="0"/>
          <w:caps w:val="0"/>
          <w:color w:val="000000"/>
          <w:spacing w:val="0"/>
          <w:sz w:val="32"/>
          <w:szCs w:val="32"/>
          <w:shd w:val="clear" w:fill="FFFFFF"/>
        </w:rPr>
        <w:t>（变更项目经理）</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"http://www.gd.gov.cn/zwgk/wjk/zcfgk/content/post_2711515.html"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《广东省人民政府2012年行政审批制度改革事项目录（第一批）》</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2012年粤府令第169号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"http://www.gd.gov.cn/zwgk/wjk/zcfgk/content/post_2712290.html"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《广东省人民政府关于将一批省级行政职权事项调整由广州、深圳市实施的决定》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2017年广东省人民政府令第241号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"http://www.gd.gov.cn/zwgk/wjk/zcfgk/content/post_2524570.html"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《建筑工程施工许可管理办法》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（2014年住建部令第18号）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"http://www.gd.gov.cn/zwgk/wjk/zcfgk/content/post_2531720.html"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《广东省住房和城乡建设厅关于下放省管大型建筑工程项目施工许可证核发等事项有关工作的通知》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粤建市〔2018〕85号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"http://www.gd.gov.cn/zwgk/wjk/zcfgk/content/post_2520660.html"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《中华人民共和国建筑法》</w:t>
      </w:r>
      <w:r>
        <w:rPr>
          <w:rFonts w:hint="eastAsia" w:ascii="仿宋" w:hAnsi="仿宋" w:eastAsia="仿宋" w:cs="仿宋"/>
          <w:b w:val="0"/>
          <w:bCs w:val="0"/>
          <w:i w:val="0"/>
          <w:iCs w:val="0"/>
          <w:caps w:val="0"/>
          <w:color w:val="000000"/>
          <w:spacing w:val="0"/>
          <w:sz w:val="32"/>
          <w:szCs w:val="32"/>
          <w:shd w:val="clear" w:fill="FFFFFF"/>
          <w:lang w:val="en-US" w:eastAsia="zh-CN"/>
        </w:rPr>
        <w:t>主席令第46号</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"http://www.gd.gov.cn/zwgk/wjk/zcfgk/content/post_2724813.html"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广东省住房和城乡建设厅关于调整房屋建筑和市政基础设施工程施工许可证办理限额的通知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rPr>
          <w:rFonts w:hint="eastAsia" w:ascii="仿宋" w:hAnsi="仿宋" w:eastAsia="仿宋" w:cs="仿宋"/>
          <w:b w:val="0"/>
          <w:bCs w:val="0"/>
          <w:i w:val="0"/>
          <w:iCs w:val="0"/>
          <w:caps w:val="0"/>
          <w:color w:val="000000"/>
          <w:spacing w:val="0"/>
          <w:sz w:val="32"/>
          <w:szCs w:val="32"/>
          <w:shd w:val="clear" w:fill="FFFFFF"/>
          <w:lang w:val="en-US" w:eastAsia="zh-CN"/>
        </w:rPr>
      </w:pPr>
    </w:p>
    <w:p>
      <w:pPr>
        <w:numPr>
          <w:ilvl w:val="0"/>
          <w:numId w:val="0"/>
        </w:numPr>
        <w:rPr>
          <w:rFonts w:hint="eastAsia" w:asciiTheme="minorEastAsia" w:hAnsiTheme="minorEastAsia" w:eastAsiaTheme="minorEastAsia" w:cstheme="minorEastAsia"/>
          <w:b w:val="0"/>
          <w:bCs w:val="0"/>
          <w:i w:val="0"/>
          <w:iCs w:val="0"/>
          <w:caps w:val="0"/>
          <w:color w:val="000000"/>
          <w:spacing w:val="0"/>
          <w:sz w:val="32"/>
          <w:szCs w:val="32"/>
          <w:shd w:val="clear" w:fill="FFFFFF"/>
        </w:rPr>
      </w:pPr>
      <w:r>
        <w:rPr>
          <w:rFonts w:hint="eastAsia" w:asciiTheme="minorEastAsia" w:hAnsiTheme="minorEastAsia" w:cstheme="minorEastAsia"/>
          <w:b w:val="0"/>
          <w:bCs w:val="0"/>
          <w:i w:val="0"/>
          <w:iCs w:val="0"/>
          <w:caps w:val="0"/>
          <w:color w:val="000000"/>
          <w:spacing w:val="0"/>
          <w:sz w:val="32"/>
          <w:szCs w:val="32"/>
          <w:shd w:val="clear" w:fill="FFFFFF"/>
          <w:lang w:val="en-US" w:eastAsia="zh-CN"/>
        </w:rPr>
        <w:t>三、</w:t>
      </w:r>
      <w:r>
        <w:rPr>
          <w:rFonts w:hint="eastAsia" w:asciiTheme="minorEastAsia" w:hAnsiTheme="minorEastAsia" w:eastAsiaTheme="minorEastAsia" w:cstheme="minorEastAsia"/>
          <w:b w:val="0"/>
          <w:bCs w:val="0"/>
          <w:i w:val="0"/>
          <w:iCs w:val="0"/>
          <w:caps w:val="0"/>
          <w:color w:val="000000"/>
          <w:spacing w:val="0"/>
          <w:sz w:val="32"/>
          <w:szCs w:val="32"/>
          <w:shd w:val="clear" w:fill="FFFFFF"/>
        </w:rPr>
        <w:t>建筑工程施工许可证变更</w:t>
      </w:r>
      <w:r>
        <w:rPr>
          <w:rFonts w:hint="eastAsia" w:asciiTheme="minorEastAsia" w:hAnsiTheme="minorEastAsia" w:eastAsiaTheme="minorEastAsia" w:cstheme="minorEastAsia"/>
          <w:i w:val="0"/>
          <w:iCs w:val="0"/>
          <w:caps w:val="0"/>
          <w:color w:val="000000"/>
          <w:spacing w:val="0"/>
          <w:sz w:val="32"/>
          <w:szCs w:val="32"/>
          <w:shd w:val="clear" w:fill="FFFFFF"/>
        </w:rPr>
        <w:t>（变更项目总监）</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"http://www.gd.gov.cn/zwgk/wjk/zcfgk/content/post_2712290.html"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《广东省人民政府关于将一批省级行政职权事项调整由广州、深圳市实施的决定》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2017年广东省人民政府令第241号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"http://www.gd.gov.cn/zwgk/wjk/zcfgk/content/post_2524570.html"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《建筑工程施工许可管理办法》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（2014年住建部令第18号）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"http://www.gd.gov.cn/zwgk/wjk/zcfgk/content/post_2531720.html"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《广东省住房和城乡建设厅关于下放省管大型建筑工程项目施工许可证核发等事项有关工作的通知》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粤建市〔2018〕85号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"http://www.gd.gov.cn/zwgk/wjk/zcfgk/content/post_2520660.html"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《中华人民共和国建筑法》</w:t>
      </w:r>
      <w:r>
        <w:rPr>
          <w:rFonts w:hint="eastAsia" w:ascii="仿宋" w:hAnsi="仿宋" w:eastAsia="仿宋" w:cs="仿宋"/>
          <w:b w:val="0"/>
          <w:bCs w:val="0"/>
          <w:i w:val="0"/>
          <w:iCs w:val="0"/>
          <w:caps w:val="0"/>
          <w:color w:val="000000"/>
          <w:spacing w:val="0"/>
          <w:sz w:val="32"/>
          <w:szCs w:val="32"/>
          <w:shd w:val="clear" w:fill="FFFFFF"/>
          <w:lang w:val="en-US" w:eastAsia="zh-CN"/>
        </w:rPr>
        <w:t>主席令第46号</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"http://www.gd.gov.cn/zwgk/wjk/zcfgk/content/post_2711515.html"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《广东省人民政府2012年行政审批制度改革事项目录（第一批）》</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2012年粤府令第169号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"http://www.gd.gov.cn/zwgk/wjk/zcfgk/content/post_2724813.html"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广东省住房和城乡建设厅关于调整房屋建筑和市政基础设施工程施工许可证办理限额的通知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638" w:leftChars="304"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0"/>
        </w:numPr>
        <w:rPr>
          <w:rFonts w:hint="eastAsia" w:asciiTheme="minorEastAsia" w:hAnsiTheme="minorEastAsia" w:eastAsiaTheme="minorEastAsia" w:cstheme="minorEastAsia"/>
          <w:b w:val="0"/>
          <w:bCs w:val="0"/>
          <w:i w:val="0"/>
          <w:iCs w:val="0"/>
          <w:caps w:val="0"/>
          <w:color w:val="000000"/>
          <w:spacing w:val="0"/>
          <w:sz w:val="32"/>
          <w:szCs w:val="32"/>
          <w:shd w:val="clear" w:fill="FFFFFF"/>
        </w:rPr>
      </w:pPr>
      <w:r>
        <w:rPr>
          <w:rFonts w:hint="eastAsia" w:asciiTheme="minorEastAsia" w:hAnsiTheme="minorEastAsia" w:cstheme="minorEastAsia"/>
          <w:b w:val="0"/>
          <w:bCs w:val="0"/>
          <w:i w:val="0"/>
          <w:iCs w:val="0"/>
          <w:caps w:val="0"/>
          <w:color w:val="000000"/>
          <w:spacing w:val="0"/>
          <w:sz w:val="32"/>
          <w:szCs w:val="32"/>
          <w:shd w:val="clear" w:fill="FFFFFF"/>
          <w:lang w:val="en-US" w:eastAsia="zh-CN"/>
        </w:rPr>
        <w:t>四、</w:t>
      </w:r>
      <w:r>
        <w:rPr>
          <w:rFonts w:hint="eastAsia" w:asciiTheme="minorEastAsia" w:hAnsiTheme="minorEastAsia" w:eastAsiaTheme="minorEastAsia" w:cstheme="minorEastAsia"/>
          <w:b w:val="0"/>
          <w:bCs w:val="0"/>
          <w:i w:val="0"/>
          <w:iCs w:val="0"/>
          <w:caps w:val="0"/>
          <w:color w:val="000000"/>
          <w:spacing w:val="0"/>
          <w:sz w:val="32"/>
          <w:szCs w:val="32"/>
          <w:shd w:val="clear" w:fill="FFFFFF"/>
        </w:rPr>
        <w:t>建筑工程施工许可证变更</w:t>
      </w:r>
      <w:r>
        <w:rPr>
          <w:rFonts w:hint="eastAsia" w:asciiTheme="minorEastAsia" w:hAnsiTheme="minorEastAsia" w:eastAsiaTheme="minorEastAsia" w:cstheme="minorEastAsia"/>
          <w:i w:val="0"/>
          <w:iCs w:val="0"/>
          <w:caps w:val="0"/>
          <w:color w:val="000000"/>
          <w:spacing w:val="0"/>
          <w:sz w:val="32"/>
          <w:szCs w:val="32"/>
          <w:shd w:val="clear" w:fill="FFFFFF"/>
        </w:rPr>
        <w:t>（变更监理单位）</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"http://www.gd.gov.cn/zwgk/wjk/zcfgk/content/post_2711515.html"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《广东省人民政府2012年行政审批制度改革事项目录（第一批）》</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2012年粤府令第169号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"http://www.gd.gov.cn/zwgk/wjk/zcfgk/content/post_2712290.html"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《广东省人民政府关于将一批省级行政职权事项调整由广州、深圳市实施的决定》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2017年广东省人民政府令第241号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"http://www.gd.gov.cn/zwgk/wjk/zcfgk/content/post_2524570.html"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《建筑工程施工许可管理办法》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（2014年住建部令第18号）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"http://www.gd.gov.cn/zwgk/wjk/zcfgk/content/post_2531720.html"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《广东省住房和城乡建设厅关于下放省管大型建筑工程项目施工许可证核发等事项有关工作的通知》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粤建市〔2018〕85号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"http://www.gd.gov.cn/zwgk/wjk/zcfgk/content/post_2520660.html"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《中华人民共和国建筑法》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主席令第46号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"http://www.gd.gov.cn/zwgk/wjk/zcfgk/content/post_2724813.html"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广东省住房和城乡建设厅关于调整房屋建筑和市政基础设施工程施工许可证办理限额的通知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0"/>
        </w:numPr>
        <w:rPr>
          <w:rFonts w:hint="eastAsia" w:asciiTheme="minorEastAsia" w:hAnsiTheme="minorEastAsia" w:eastAsiaTheme="minorEastAsia" w:cstheme="minorEastAsia"/>
          <w:b w:val="0"/>
          <w:bCs w:val="0"/>
          <w:i w:val="0"/>
          <w:iCs w:val="0"/>
          <w:caps w:val="0"/>
          <w:color w:val="000000"/>
          <w:spacing w:val="0"/>
          <w:sz w:val="32"/>
          <w:szCs w:val="32"/>
          <w:shd w:val="clear" w:fill="FFFFFF"/>
        </w:rPr>
      </w:pPr>
      <w:r>
        <w:rPr>
          <w:rFonts w:hint="eastAsia" w:asciiTheme="minorEastAsia" w:hAnsiTheme="minorEastAsia" w:cstheme="minorEastAsia"/>
          <w:b w:val="0"/>
          <w:bCs w:val="0"/>
          <w:i w:val="0"/>
          <w:iCs w:val="0"/>
          <w:caps w:val="0"/>
          <w:color w:val="000000"/>
          <w:spacing w:val="0"/>
          <w:sz w:val="32"/>
          <w:szCs w:val="32"/>
          <w:shd w:val="clear" w:fill="FFFFFF"/>
          <w:lang w:val="en-US" w:eastAsia="zh-CN"/>
        </w:rPr>
        <w:t>五、</w:t>
      </w:r>
      <w:r>
        <w:rPr>
          <w:rFonts w:hint="eastAsia" w:asciiTheme="minorEastAsia" w:hAnsiTheme="minorEastAsia" w:eastAsiaTheme="minorEastAsia" w:cstheme="minorEastAsia"/>
          <w:b w:val="0"/>
          <w:bCs w:val="0"/>
          <w:i w:val="0"/>
          <w:iCs w:val="0"/>
          <w:caps w:val="0"/>
          <w:color w:val="000000"/>
          <w:spacing w:val="0"/>
          <w:sz w:val="32"/>
          <w:szCs w:val="32"/>
          <w:shd w:val="clear" w:fill="FFFFFF"/>
        </w:rPr>
        <w:t>建筑工程施工许可证变更</w:t>
      </w:r>
      <w:r>
        <w:rPr>
          <w:rFonts w:hint="eastAsia" w:asciiTheme="minorEastAsia" w:hAnsiTheme="minorEastAsia" w:eastAsiaTheme="minorEastAsia" w:cstheme="minorEastAsia"/>
          <w:i w:val="0"/>
          <w:iCs w:val="0"/>
          <w:caps w:val="0"/>
          <w:color w:val="000000"/>
          <w:spacing w:val="0"/>
          <w:sz w:val="32"/>
          <w:szCs w:val="32"/>
          <w:shd w:val="clear" w:fill="FFFFFF"/>
        </w:rPr>
        <w:t>（变更建设规模）</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"http://www.gd.gov.cn/zwgk/wjk/zcfgk/content/post_2531720.html"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《广东省住房和城乡建设厅关于下放省管大型建筑工程项目施工许可证核发等事项有关工作的通知》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粤建市〔2018〕85号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"http://www.gd.gov.cn/zwgk/wjk/zcfgk/content/post_2520660.html"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《中华人民共和国建筑法》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主席令第46号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"http://www.gd.gov.cn/zwgk/wjk/zcfgk/content/post_2711515.html"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《广东省人民政府2012年行政审批制度改革事项目录（第一批）》</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2012年粤府令第169号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"http://www.gd.gov.cn/zwgk/wjk/zcfgk/content/post_2712290.html"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《广东省人民政府关于将一批省级行政职权事项调整由广州、深圳市实施的决定》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2017年广东省人民政府令第241号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"http://www.gd.gov.cn/zwgk/wjk/zcfgk/content/post_2524570.html"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《建筑工程施工许可管理办法》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（2014年住建部令第18号）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"http://www.gd.gov.cn/zwgk/wjk/zcfgk/content/post_2724813.html"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广东省住房和城乡建设厅关于调整房屋建筑和市政基础设施工程施工许可证办理限额的通知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638" w:leftChars="304"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应建防空地下室的民用建筑项目许可</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《中华人民共和国人民防空法》中华人民共和国主席令第18号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广东省实施《中华人民共和国人民防空法》办法 广东省第十一届人民代表大会常务委员会公告第44号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广东省实施《中华人民共和国人民防空法》办法 广东省第十一届人民代表大会常务委员会公告第44号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广东省实施《中华人民共和国人民防空法》办法 广东省第十一届人民代表大会常务委员会公告第44号</w:t>
      </w:r>
    </w:p>
    <w:p>
      <w:pPr>
        <w:numPr>
          <w:ilvl w:val="0"/>
          <w:numId w:val="0"/>
        </w:numPr>
        <w:ind w:left="638" w:leftChars="304"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建筑工程施工许可证核发</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304" w:hanging="320" w:hangingChars="1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"http://www.gd.gov.cn/zwgk/wjk/zcfgk/content/post_2711515.html"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《广东省人民政府2012年行政审批制度改革事项目录（第一批）》</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2012年粤府令第169号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"http://www.gd.gov.cn/zwgk/wjk/zcfgk/content/post_2712290.html"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《广东省人民政府关于将一批省级行政职权事项调整由广州、深圳市实施的决定》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2017年广东省人民政府令第241号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"http://www.gd.gov.cn/zwgk/wjk/zcfgk/content/post_2524570.html"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《建筑工程施工许可管理办法》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（2014年住建部令第18号）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"http://www.gd.gov.cn/zwgk/wjk/zcfgk/content/post_2531720.html"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《广东省住房和城乡建设厅关于下放省管大型建筑工程项目施工许可证核发等事项有关工作的通知》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粤建市〔2018〕85号</w:t>
      </w:r>
    </w:p>
    <w:p>
      <w:pPr>
        <w:numPr>
          <w:ilvl w:val="0"/>
          <w:numId w:val="0"/>
        </w:numPr>
        <w:ind w:left="638" w:leftChars="304" w:firstLine="320" w:firstLineChars="1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"http://www.gd.gov.cn/zwgk/wjk/zcfgk/content/post_2520660.html"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《中华人民共和国建筑法》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主席令第46号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fldChar w:fldCharType="begin"/>
      </w:r>
      <w:r>
        <w:rPr>
          <w:rFonts w:hint="eastAsia"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"http://www.gd.gov.cn/zwgk/wjk/zcfgk/content/post_2724813.html" \t "https://www.gdzwfw.gov.cn/portal/v2/guide/_blank" </w:instrText>
      </w:r>
      <w:r>
        <w:rPr>
          <w:rFonts w:hint="eastAsia"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广东省住房和城乡建设厅关于调整房屋建筑和市政基础设施工程施工许可证办理限额的通知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638" w:leftChars="304"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固定资产投资项目变更</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"http://www.gd.gov.cn/zwgk/wjk/zcfgk/content/post_2520788.html"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《企业投资项目核准和备案管理条例》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2016年国务院第673号令</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"http://www.gd.gov.cn/zwgk/wjk/zcfgk/content/post_2521305.html"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《中共中央 国务院关于深化投融资体制改革的意见》</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中发〔2016〕18号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"http://www.gd.gov.cn/zwgk/wjk/zcfgk/content/post_2711541.html"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《广东省人民政府关于发布【广东省政府核准的投资项目目录（2017年本）】的通知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（粤府〔2017〕113号）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"http://www.gd.gov.cn/zwgk/wjk/zcfgk/content/post_2524351.html"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《国务院关于发布政府核准的投资项目目录（2016年本）的通知》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国发【2016】72号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"http://www.gd.gov.cn/zwgk/wjk/zcfgk/content/post_2532104.html"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《企业投资项目核准和备案管理办法》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2017年国家发展改革委第2号令</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国家发展改革委关于应对疫情进一步深化改革做好外资项目有关工作的通知</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发改外资〔2020〕343号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"http://www.gd.gov.cn/zwgk/wjk/zcfgk/content/post_2520903.html"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外商投资项目核准和备案管理办法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2014年国家发改委令第12号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固定资产投资项目延期</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"http://www.gd.gov.cn/zwgk/wjk/zcfgk/content/post_2520788.html"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《企业投资项目核准和备案管理条例》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2016年国务院第673号令</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"http://www.gd.gov.cn/zwgk/wjk/zcfgk/content/post_2521305.html"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《中共中央 国务院关于深化投融资体制改革的意见》</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中发〔2016〕18号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"http://www.gd.gov.cn/zwgk/wjk/zcfgk/content/post_2711541.html"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《广东省人民政府关于发布【广东省政府核准的投资项目目录（2017年本）】的通知》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（粤府〔2017〕113号）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"http://www.gd.gov.cn/zwgk/wjk/zcfgk/content/post_2524351.html"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《国务院关于发布政府核准的投资项目目录（2016年本）的通知》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国发【2016】72号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"http://www.gd.gov.cn/zwgk/wjk/zcfgk/content/post_2532104.html"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《企业投资项目核准和备案管理办法》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2017年国家发展改革委第2号令</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国家发展改革委关于应对疫情进一步深化改革做好外资项目有关工作的通知</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发改外资〔2020〕343号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"http://www.gd.gov.cn/zwgk/wjk/zcfgk/content/post_2520903.html"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外商投资项目核准和备案管理办法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2014年国家发改委令第12号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需要履行项目核准手续的依法必须招标的勘察、设计、监理等与工程有关的服务招标范围、招标方式和招标组织形式的提前单独核准</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"http://www.gd.gov.cn/zwgk/wjk/zcfgk/content/post_2532493.html"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《工程建设项目可行性研究报告增加招标内容和核准招标事项暂行规定》</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（2001年国家计委令第9号，2013年修改）</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"http://www.gd.gov.cn/zwgk/wjk/zcfgk/content/post_2716912.html"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《工程建设项目施工招标投标办法》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2013年国家发展和改革委员会、工业和信息化部、财政部、住房和城乡建设部、交通运输部、铁道部、水利部、国家广播电影电视总局、中国民用航空局令第23号修订</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"http://www.gd.gov.cn/zwgk/wjk/zcfgk/content/post_2524341.html"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《中华人民共和国招标投标法实施条例》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2018年中华人民共和国国务院令第698号令第二次修订</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"http://www.gd.gov.cn/zwgk/wjk/zcfgk/content/post_2520679.html"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《中华人民共和国招标投标法》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2017年修正</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"http://www.gd.gov.cn/zwgk/wjk/zcfgk/content/post_2524345.html"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广东省实施《中华人民共和国招标投标法》办法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广东省第十三届人民代表大会常务委员会公告第19号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"http://www.gd.gov.cn/zwgk/wjk/zcfgk/content/post_2524345.html"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广东省实施《中华人民共和国招标投标法》办法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广东省第十三届人民代表大会常务委员会公告第19号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"http://www.gd.gov.cn/zwgk/wjk/zcfgk/content/post_2524345.html"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广东省实施《中华人民共和国招标投标法》办法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广东省第十三届人民代表大会常务委员会公告第19号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建设工程规划类许可证核发（市政类）</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中华人民共和国城乡规划法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中华人民共和国主席令第29号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中华人民共和国城乡规划法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中华人民共和国主席令第29号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建设项目用地预审与选址意见书</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"http://www.gd.gov.cn/zwgk/wjk/zcfgk/content/post_2531700.html"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《中华人民共和国城乡规划法》第十届全国人民代表大会常务委员会第三十次会议</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"http://www.gd.gov.cn/zwgk/wjk/zcfgk/content/post_2530624.html"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《建设项目用地预审管理办法》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（2016年国土资源部令第68号）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"http://www.gd.gov.cn/zwgk/wjk/zcfgk/content/post_2530624.html"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建设项目用地预审管理办法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中华人民共和国国土资源部令第68号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建设工程规划类许可证核发（建筑类）</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中华人民共和国城乡规划法》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中华人民共和国主席令第29号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中华人民共和国城乡规划法》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中华人民共和国主席令第29号</w:t>
      </w:r>
    </w:p>
    <w:p>
      <w:pPr>
        <w:numPr>
          <w:ilvl w:val="0"/>
          <w:numId w:val="0"/>
        </w:numPr>
        <w:ind w:left="958" w:leftChars="456"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固定资产投资项目核准</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"http://www.gd.gov.cn/zwgk/wjk/zcfgk/content/post_2521305.html"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《中共中央 国务院关于深化投融资体制改革的意见》</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中发〔2016〕18号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"http://www.gd.gov.cn/zwgk/wjk/zcfgk/content/post_2711541.html"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《广东省人民政府关于发布【广东省政府核准的投资项目目录（2017年本）】的通知》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（粤府〔2017〕113号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"http://www.gd.gov.cn/zwgk/wjk/zcfgk/content/post_2524351.html"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《国务院关于发布政府核准的投资项目目录（2016年本）的通知》</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国发【2016】72号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"http://www.gd.gov.cn/zwgk/wjk/zcfgk/content/post_2520788.html"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《企业投资项目核准和备案管理条例》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2016年国务院第673号令</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"http://www.gd.gov.cn/zwgk/wjk/zcfgk/content/post_2532104.html"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《企业投资项目核准和备案管理办法》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2017年国家发展改革委第2号令</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《国家发展改革委关于应对疫情进一步深化改革做好外资项目有关工作的通知》</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发改外资〔2020〕343号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"http://www.gd.gov.cn/zwgk/wjk/zcfgk/content/post_2520903.html"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外商投资项目核准和备案管理办法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2014年国家发改委令第12号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"http://www.gd.gov.cn/zwgk/wjk/zcfgk/content/post_2937132.html"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中华人民共和国主席令第26号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"http://www.gd.gov.cn/zwgk/wjk/zcfgk/content/post_2936077.html"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中华人民共和国外商投资法实施条例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中华人民共和国国务院令第723号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cstheme="minorEastAsia"/>
          <w:i w:val="0"/>
          <w:iCs w:val="0"/>
          <w:caps w:val="0"/>
          <w:color w:val="000000"/>
          <w:spacing w:val="0"/>
          <w:kern w:val="0"/>
          <w:sz w:val="32"/>
          <w:szCs w:val="32"/>
          <w:shd w:val="clear" w:fill="FFFFFF"/>
          <w:vertAlign w:val="baseline"/>
          <w:lang w:val="en-US" w:eastAsia="zh-CN" w:bidi="ar"/>
        </w:rPr>
        <w:t>十五、</w:t>
      </w:r>
      <w:r>
        <w:rPr>
          <w:rFonts w:hint="eastAsia" w:asciiTheme="minorEastAsia" w:hAnsiTheme="minorEastAsia" w:eastAsiaTheme="minorEastAsia" w:cstheme="minorEastAsia"/>
          <w:i w:val="0"/>
          <w:iCs w:val="0"/>
          <w:caps w:val="0"/>
          <w:color w:val="000000"/>
          <w:spacing w:val="0"/>
          <w:kern w:val="0"/>
          <w:sz w:val="32"/>
          <w:szCs w:val="32"/>
          <w:shd w:val="clear" w:fill="FFFFFF"/>
          <w:vertAlign w:val="baseline"/>
          <w:lang w:val="en-US" w:eastAsia="zh-CN" w:bidi="ar"/>
        </w:rPr>
        <w:t>大中型建设工程初步设计审查</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"http://www.gd.gov.cn/zwgk/wjk/zcfgk/content/post_2521224.html"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《广东省建设工程勘察设计管理条例》2007年3月29日广东省第十届人民代表大会常务委员会第三十次会议通过</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"http://www.gd.gov.cn/zwgk/wjk/zcfgk/content/post_2520736.html"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《建设工程勘察设计管理条例》</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中华人民共和国国务院令第662号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fldChar w:fldCharType="begin"/>
      </w:r>
      <w:r>
        <w:rPr>
          <w:rFonts w:hint="default" w:ascii="仿宋" w:hAnsi="仿宋" w:eastAsia="仿宋" w:cs="仿宋"/>
          <w:b w:val="0"/>
          <w:bCs w:val="0"/>
          <w:i w:val="0"/>
          <w:iCs w:val="0"/>
          <w:caps w:val="0"/>
          <w:color w:val="000000"/>
          <w:spacing w:val="0"/>
          <w:sz w:val="32"/>
          <w:szCs w:val="32"/>
          <w:shd w:val="clear" w:fill="FFFFFF"/>
          <w:lang w:val="en-US" w:eastAsia="zh-CN"/>
        </w:rPr>
        <w:instrText xml:space="preserve"> HYPERLINK "http://www.gd.gov.cn/zwgk/wjk/zcfgk/content/post_2710879.html" \t "https://www.gdzwfw.gov.cn/portal/v2/guide/_blank" </w:instrText>
      </w:r>
      <w:r>
        <w:rPr>
          <w:rFonts w:hint="default" w:ascii="仿宋" w:hAnsi="仿宋" w:eastAsia="仿宋" w:cs="仿宋"/>
          <w:b w:val="0"/>
          <w:bCs w:val="0"/>
          <w:i w:val="0"/>
          <w:iCs w:val="0"/>
          <w:caps w:val="0"/>
          <w:color w:val="000000"/>
          <w:spacing w:val="0"/>
          <w:sz w:val="32"/>
          <w:szCs w:val="32"/>
          <w:shd w:val="clear" w:fill="FFFFFF"/>
          <w:lang w:val="en-US" w:eastAsia="zh-CN"/>
        </w:rPr>
        <w:fldChar w:fldCharType="separate"/>
      </w:r>
      <w:r>
        <w:rPr>
          <w:rFonts w:hint="default" w:ascii="仿宋" w:hAnsi="仿宋" w:eastAsia="仿宋" w:cs="仿宋"/>
          <w:b w:val="0"/>
          <w:bCs w:val="0"/>
          <w:i w:val="0"/>
          <w:iCs w:val="0"/>
          <w:caps w:val="0"/>
          <w:color w:val="000000"/>
          <w:spacing w:val="0"/>
          <w:sz w:val="32"/>
          <w:szCs w:val="32"/>
          <w:shd w:val="clear" w:fill="FFFFFF"/>
          <w:lang w:val="en-US" w:eastAsia="zh-CN"/>
        </w:rPr>
        <w:t>《广东省建设厅大中型建设工程初步设计审查管理办法》</w:t>
      </w:r>
      <w:r>
        <w:rPr>
          <w:rFonts w:hint="default" w:ascii="仿宋" w:hAnsi="仿宋" w:eastAsia="仿宋" w:cs="仿宋"/>
          <w:b w:val="0"/>
          <w:bCs w:val="0"/>
          <w:i w:val="0"/>
          <w:iCs w:val="0"/>
          <w:caps w:val="0"/>
          <w:color w:val="000000"/>
          <w:spacing w:val="0"/>
          <w:sz w:val="32"/>
          <w:szCs w:val="32"/>
          <w:shd w:val="clear" w:fill="FFFFFF"/>
          <w:lang w:val="en-US" w:eastAsia="zh-CN"/>
        </w:rPr>
        <w:fldChar w:fldCharType="end"/>
      </w:r>
      <w:r>
        <w:rPr>
          <w:rFonts w:hint="default" w:ascii="仿宋" w:hAnsi="仿宋" w:eastAsia="仿宋" w:cs="仿宋"/>
          <w:b w:val="0"/>
          <w:bCs w:val="0"/>
          <w:i w:val="0"/>
          <w:iCs w:val="0"/>
          <w:caps w:val="0"/>
          <w:color w:val="000000"/>
          <w:spacing w:val="0"/>
          <w:sz w:val="32"/>
          <w:szCs w:val="32"/>
          <w:shd w:val="clear" w:fill="FFFFFF"/>
          <w:lang w:val="en-US" w:eastAsia="zh-CN"/>
        </w:rPr>
        <w:t>粤建设字〔2008〕24号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p>
    <w:p>
      <w:pPr>
        <w:numPr>
          <w:ilvl w:val="0"/>
          <w:numId w:val="0"/>
        </w:numPr>
        <w:ind w:leftChars="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Theme="minorEastAsia" w:hAnsiTheme="minorEastAsia" w:cstheme="minorEastAsia"/>
          <w:b w:val="0"/>
          <w:bCs w:val="0"/>
          <w:i w:val="0"/>
          <w:iCs w:val="0"/>
          <w:caps w:val="0"/>
          <w:color w:val="000000"/>
          <w:spacing w:val="0"/>
          <w:sz w:val="32"/>
          <w:szCs w:val="32"/>
          <w:shd w:val="clear" w:fill="FFFFFF"/>
          <w:lang w:val="en-US" w:eastAsia="zh-CN"/>
        </w:rPr>
        <w:t>十六、</w:t>
      </w:r>
      <w:r>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t>易地修建防空地下室的民用建筑项目许可</w:t>
      </w:r>
    </w:p>
    <w:p>
      <w:pPr>
        <w:numPr>
          <w:ilvl w:val="0"/>
          <w:numId w:val="0"/>
        </w:numPr>
        <w:ind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1.承诺办结时限：1个工作日</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2.设置依据</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《中华人民共和国人民防空法》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中华人民共和国主席令第18号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《广东省实施</w:t>
      </w:r>
      <w:r>
        <w:rPr>
          <w:rFonts w:hint="eastAsia" w:ascii="仿宋" w:hAnsi="仿宋" w:eastAsia="仿宋" w:cs="仿宋"/>
          <w:b w:val="0"/>
          <w:bCs w:val="0"/>
          <w:i w:val="0"/>
          <w:iCs w:val="0"/>
          <w:caps w:val="0"/>
          <w:color w:val="000000"/>
          <w:spacing w:val="0"/>
          <w:sz w:val="32"/>
          <w:szCs w:val="32"/>
          <w:shd w:val="clear" w:fill="FFFFFF"/>
          <w:lang w:val="en-US" w:eastAsia="zh-CN"/>
        </w:rPr>
        <w:t>&lt;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中华人民共和国人民防空法</w:t>
      </w:r>
      <w:r>
        <w:rPr>
          <w:rFonts w:hint="eastAsia" w:ascii="仿宋" w:hAnsi="仿宋" w:eastAsia="仿宋" w:cs="仿宋"/>
          <w:b w:val="0"/>
          <w:bCs w:val="0"/>
          <w:i w:val="0"/>
          <w:iCs w:val="0"/>
          <w:caps w:val="0"/>
          <w:color w:val="000000"/>
          <w:spacing w:val="0"/>
          <w:sz w:val="32"/>
          <w:szCs w:val="32"/>
          <w:shd w:val="clear" w:fill="FFFFFF"/>
          <w:lang w:val="en-US" w:eastAsia="zh-CN"/>
        </w:rPr>
        <w:t>&gt;</w:t>
      </w:r>
      <w:r>
        <w:rPr>
          <w:rFonts w:hint="default" w:ascii="仿宋" w:hAnsi="仿宋" w:eastAsia="仿宋" w:cs="仿宋"/>
          <w:b w:val="0"/>
          <w:bCs w:val="0"/>
          <w:i w:val="0"/>
          <w:iCs w:val="0"/>
          <w:caps w:val="0"/>
          <w:color w:val="000000"/>
          <w:spacing w:val="0"/>
          <w:sz w:val="32"/>
          <w:szCs w:val="32"/>
          <w:shd w:val="clear" w:fill="FFFFFF"/>
          <w:lang w:val="en-US" w:eastAsia="zh-CN"/>
        </w:rPr>
        <w:t>办法》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广东省第十一届人民代表大会常务委员会公告第44号</w:t>
      </w:r>
    </w:p>
    <w:p>
      <w:pPr>
        <w:numPr>
          <w:ilvl w:val="0"/>
          <w:numId w:val="0"/>
        </w:numPr>
        <w:ind w:left="958" w:leftChars="456" w:firstLine="0" w:firstLineChars="0"/>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《广东省实施</w:t>
      </w:r>
      <w:r>
        <w:rPr>
          <w:rFonts w:hint="eastAsia" w:ascii="仿宋" w:hAnsi="仿宋" w:eastAsia="仿宋" w:cs="仿宋"/>
          <w:b w:val="0"/>
          <w:bCs w:val="0"/>
          <w:i w:val="0"/>
          <w:iCs w:val="0"/>
          <w:caps w:val="0"/>
          <w:color w:val="000000"/>
          <w:spacing w:val="0"/>
          <w:sz w:val="32"/>
          <w:szCs w:val="32"/>
          <w:shd w:val="clear" w:fill="FFFFFF"/>
          <w:lang w:val="en-US" w:eastAsia="zh-CN"/>
        </w:rPr>
        <w:t>&lt;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中华人民共和国人民防空法</w:t>
      </w:r>
      <w:r>
        <w:rPr>
          <w:rFonts w:hint="eastAsia" w:ascii="仿宋" w:hAnsi="仿宋" w:eastAsia="仿宋" w:cs="仿宋"/>
          <w:b w:val="0"/>
          <w:bCs w:val="0"/>
          <w:i w:val="0"/>
          <w:iCs w:val="0"/>
          <w:caps w:val="0"/>
          <w:color w:val="000000"/>
          <w:spacing w:val="0"/>
          <w:sz w:val="32"/>
          <w:szCs w:val="32"/>
          <w:shd w:val="clear" w:fill="FFFFFF"/>
          <w:lang w:val="en-US" w:eastAsia="zh-CN"/>
        </w:rPr>
        <w:t>&gt;</w:t>
      </w:r>
      <w:r>
        <w:rPr>
          <w:rFonts w:hint="default" w:ascii="仿宋" w:hAnsi="仿宋" w:eastAsia="仿宋" w:cs="仿宋"/>
          <w:b w:val="0"/>
          <w:bCs w:val="0"/>
          <w:i w:val="0"/>
          <w:iCs w:val="0"/>
          <w:caps w:val="0"/>
          <w:color w:val="000000"/>
          <w:spacing w:val="0"/>
          <w:sz w:val="32"/>
          <w:szCs w:val="32"/>
          <w:shd w:val="clear" w:fill="FFFFFF"/>
          <w:lang w:val="en-US" w:eastAsia="zh-CN"/>
        </w:rPr>
        <w:t>办法》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广东省第十一届人民代表大会常务委员会公告第44号</w:t>
      </w:r>
    </w:p>
    <w:p>
      <w:pPr>
        <w:numPr>
          <w:ilvl w:val="0"/>
          <w:numId w:val="0"/>
        </w:numPr>
        <w:ind w:left="958" w:leftChars="456" w:firstLine="0" w:firstLineChars="0"/>
        <w:rPr>
          <w:rFonts w:hint="eastAsia"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《广东省实施</w:t>
      </w:r>
      <w:r>
        <w:rPr>
          <w:rFonts w:hint="eastAsia" w:ascii="仿宋" w:hAnsi="仿宋" w:eastAsia="仿宋" w:cs="仿宋"/>
          <w:b w:val="0"/>
          <w:bCs w:val="0"/>
          <w:i w:val="0"/>
          <w:iCs w:val="0"/>
          <w:caps w:val="0"/>
          <w:color w:val="000000"/>
          <w:spacing w:val="0"/>
          <w:sz w:val="32"/>
          <w:szCs w:val="32"/>
          <w:shd w:val="clear" w:fill="FFFFFF"/>
          <w:lang w:val="en-US" w:eastAsia="zh-CN"/>
        </w:rPr>
        <w:t>&lt;</w:t>
      </w:r>
      <w:r>
        <w:rPr>
          <w:rFonts w:hint="default" w:ascii="仿宋" w:hAnsi="仿宋" w:eastAsia="仿宋" w:cs="仿宋"/>
          <w:b w:val="0"/>
          <w:bCs w:val="0"/>
          <w:i w:val="0"/>
          <w:iCs w:val="0"/>
          <w:caps w:val="0"/>
          <w:color w:val="000000"/>
          <w:spacing w:val="0"/>
          <w:sz w:val="32"/>
          <w:szCs w:val="32"/>
          <w:shd w:val="clear" w:fill="FFFFFF"/>
          <w:lang w:val="en-US" w:eastAsia="zh-CN"/>
        </w:rPr>
        <w:t>中华人民共和国人民防空法</w:t>
      </w:r>
      <w:r>
        <w:rPr>
          <w:rFonts w:hint="eastAsia" w:ascii="仿宋" w:hAnsi="仿宋" w:eastAsia="仿宋" w:cs="仿宋"/>
          <w:b w:val="0"/>
          <w:bCs w:val="0"/>
          <w:i w:val="0"/>
          <w:iCs w:val="0"/>
          <w:caps w:val="0"/>
          <w:color w:val="000000"/>
          <w:spacing w:val="0"/>
          <w:sz w:val="32"/>
          <w:szCs w:val="32"/>
          <w:shd w:val="clear" w:fill="FFFFFF"/>
          <w:lang w:val="en-US" w:eastAsia="zh-CN"/>
        </w:rPr>
        <w:t>&gt;</w:t>
      </w:r>
      <w:r>
        <w:rPr>
          <w:rFonts w:hint="default" w:ascii="仿宋" w:hAnsi="仿宋" w:eastAsia="仿宋" w:cs="仿宋"/>
          <w:b w:val="0"/>
          <w:bCs w:val="0"/>
          <w:i w:val="0"/>
          <w:iCs w:val="0"/>
          <w:caps w:val="0"/>
          <w:color w:val="000000"/>
          <w:spacing w:val="0"/>
          <w:sz w:val="32"/>
          <w:szCs w:val="32"/>
          <w:shd w:val="clear" w:fill="FFFFFF"/>
          <w:lang w:val="en-US" w:eastAsia="zh-CN"/>
        </w:rPr>
        <w:t>办法》</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default" w:ascii="仿宋" w:hAnsi="仿宋" w:eastAsia="仿宋" w:cs="仿宋"/>
          <w:b w:val="0"/>
          <w:bCs w:val="0"/>
          <w:i w:val="0"/>
          <w:iCs w:val="0"/>
          <w:caps w:val="0"/>
          <w:color w:val="000000"/>
          <w:spacing w:val="0"/>
          <w:sz w:val="32"/>
          <w:szCs w:val="32"/>
          <w:shd w:val="clear" w:fill="FFFFFF"/>
          <w:lang w:val="en-US" w:eastAsia="zh-CN"/>
        </w:rPr>
        <w:t>广东省第十一届人民代表大会常务委员会公告第44号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C5AFF"/>
    <w:multiLevelType w:val="singleLevel"/>
    <w:tmpl w:val="CB7C5A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WExYmQwN2UwNDMwYThlYmI3ODczOTQxZjk5ZmMifQ=="/>
  </w:docVars>
  <w:rsids>
    <w:rsidRoot w:val="1AE15EF3"/>
    <w:rsid w:val="1AE15EF3"/>
    <w:rsid w:val="EF31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2023-12-20T15:22:00Z</dcterms:created>
  <dc:creator>麦子</dc:creator>
  <cp:lastModifiedBy>zonghebu2</cp:lastModifiedBy>
  <dcterms:modified xsi:type="dcterms:W3CDTF">2024-10-22T11:42:36Z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A68604E4F2BC45ABBC1B962EC2B8413D_11</vt:lpwstr>
  </property>
</Properties>
</file>