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2016年汕尾新区管理委员会部门决算</w:t>
      </w:r>
    </w:p>
    <w:p>
      <w:pPr>
        <w:jc w:val="center"/>
        <w:rPr>
          <w:rFonts w:hint="eastAsia"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基本情况说明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部门基本情况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部门机构设置和职能</w:t>
      </w:r>
    </w:p>
    <w:p>
      <w:pPr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汕尾新区管理委员会是为市人民政府派出机构，在授权或委托范围内依法行使经济建设和发展管理权限。汕尾新区管理委员会内设5个正科级机构，分别为综合协调部、经济发展部、规划建设部、统计考核部、高新工作部。下属公益一类正科级事业单位汕尾高新区企业综合服务中心。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人员构成情况</w:t>
      </w:r>
    </w:p>
    <w:p>
      <w:pPr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</w:t>
      </w: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汕尾新区管理委员会，正副科级领导职数6名，定编行政编制15名，机关后勤人员2名。汕尾高新区企业综合服务中心，核定5个财政编制。</w:t>
      </w: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收入决算情况说明</w:t>
      </w:r>
    </w:p>
    <w:p>
      <w:pPr>
        <w:autoSpaceDN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本部门2016年度收入合计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3266.71</w:t>
      </w:r>
      <w:r>
        <w:rPr>
          <w:rFonts w:hint="eastAsia" w:ascii="仿宋" w:hAnsi="仿宋" w:eastAsia="仿宋"/>
          <w:sz w:val="28"/>
          <w:szCs w:val="28"/>
        </w:rPr>
        <w:t>万元，与2015年度相比，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收入总计增加3122.03万元，增长2157.94</w:t>
      </w:r>
      <w:r>
        <w:rPr>
          <w:rFonts w:hint="eastAsia" w:ascii="仿宋" w:hAnsi="仿宋" w:eastAsia="仿宋"/>
          <w:sz w:val="28"/>
          <w:szCs w:val="28"/>
        </w:rPr>
        <w:t>%。主要原因：2016年度省级专项资金收入大幅增加。其中：</w:t>
      </w:r>
      <w:r>
        <w:rPr>
          <w:rFonts w:hint="eastAsia" w:ascii="仿宋" w:hAnsi="仿宋" w:eastAsia="仿宋"/>
          <w:b/>
          <w:bCs/>
          <w:sz w:val="28"/>
          <w:szCs w:val="28"/>
        </w:rPr>
        <w:t>财政拨款收入</w:t>
      </w:r>
      <w:r>
        <w:rPr>
          <w:rFonts w:hint="eastAsia" w:ascii="仿宋" w:hAnsi="仿宋" w:eastAsia="仿宋"/>
          <w:sz w:val="28"/>
          <w:szCs w:val="28"/>
        </w:rPr>
        <w:t>2261.38万元，占本年收入合计的69.23%；</w:t>
      </w:r>
      <w:r>
        <w:rPr>
          <w:rFonts w:hint="eastAsia" w:ascii="仿宋" w:hAnsi="仿宋" w:eastAsia="仿宋"/>
          <w:b/>
          <w:bCs/>
          <w:sz w:val="28"/>
          <w:szCs w:val="28"/>
        </w:rPr>
        <w:t>上级补助收入</w:t>
      </w:r>
      <w:r>
        <w:rPr>
          <w:rFonts w:hint="eastAsia" w:ascii="仿宋" w:hAnsi="仿宋" w:eastAsia="仿宋"/>
          <w:sz w:val="28"/>
          <w:szCs w:val="28"/>
        </w:rPr>
        <w:t>0万元，占本年收入合计的0%；</w:t>
      </w:r>
      <w:r>
        <w:rPr>
          <w:rFonts w:hint="eastAsia" w:ascii="仿宋" w:hAnsi="仿宋" w:eastAsia="仿宋"/>
          <w:b/>
          <w:bCs/>
          <w:sz w:val="28"/>
          <w:szCs w:val="28"/>
        </w:rPr>
        <w:t>事业收入</w:t>
      </w:r>
      <w:r>
        <w:rPr>
          <w:rFonts w:hint="eastAsia" w:ascii="仿宋" w:hAnsi="仿宋" w:eastAsia="仿宋"/>
          <w:sz w:val="28"/>
          <w:szCs w:val="28"/>
        </w:rPr>
        <w:t>0万元，占本年收入合计的0%；</w:t>
      </w:r>
      <w:r>
        <w:rPr>
          <w:rFonts w:hint="eastAsia" w:ascii="仿宋" w:hAnsi="仿宋" w:eastAsia="仿宋"/>
          <w:b/>
          <w:bCs/>
          <w:sz w:val="28"/>
          <w:szCs w:val="28"/>
        </w:rPr>
        <w:t>其他收入</w:t>
      </w:r>
      <w:r>
        <w:rPr>
          <w:rFonts w:hint="eastAsia" w:ascii="仿宋" w:hAnsi="仿宋" w:eastAsia="仿宋"/>
          <w:sz w:val="28"/>
          <w:szCs w:val="28"/>
        </w:rPr>
        <w:t>1005.33万元，占本年收入合计的30.77%.</w:t>
      </w: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支出决算情况说明</w:t>
      </w:r>
    </w:p>
    <w:p>
      <w:pPr>
        <w:autoSpaceDN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本部门2016年度支出合计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1934.77</w:t>
      </w:r>
      <w:r>
        <w:rPr>
          <w:rFonts w:hint="eastAsia" w:ascii="仿宋" w:hAnsi="仿宋" w:eastAsia="仿宋"/>
          <w:sz w:val="28"/>
          <w:szCs w:val="28"/>
        </w:rPr>
        <w:t>万元。与2015年度相比，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支出总计增加1782.11万元，增长1167.36</w:t>
      </w:r>
      <w:r>
        <w:rPr>
          <w:rFonts w:hint="eastAsia" w:ascii="仿宋" w:hAnsi="仿宋" w:eastAsia="仿宋"/>
          <w:sz w:val="28"/>
          <w:szCs w:val="28"/>
        </w:rPr>
        <w:t>%。主要原因：2016年度省级专项资金支出大幅增加，同时由于人员增加，人员经费亦增加。其中：</w:t>
      </w:r>
      <w:r>
        <w:rPr>
          <w:rFonts w:hint="eastAsia" w:ascii="仿宋" w:hAnsi="仿宋" w:eastAsia="仿宋"/>
          <w:b/>
          <w:bCs/>
          <w:sz w:val="28"/>
          <w:szCs w:val="28"/>
        </w:rPr>
        <w:t>财政拨款支出</w:t>
      </w:r>
      <w:r>
        <w:rPr>
          <w:rFonts w:hint="eastAsia" w:ascii="仿宋" w:hAnsi="仿宋" w:eastAsia="仿宋"/>
          <w:sz w:val="28"/>
          <w:szCs w:val="28"/>
        </w:rPr>
        <w:t>1934.77万元，占本年支出合计的100%。财政拨款支出中</w:t>
      </w:r>
      <w:r>
        <w:rPr>
          <w:rFonts w:hint="eastAsia" w:ascii="仿宋" w:hAnsi="仿宋" w:eastAsia="仿宋"/>
          <w:b/>
          <w:bCs/>
          <w:sz w:val="28"/>
          <w:szCs w:val="28"/>
        </w:rPr>
        <w:t>基本支出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150.94</w:t>
      </w:r>
      <w:r>
        <w:rPr>
          <w:rFonts w:hint="eastAsia" w:ascii="仿宋" w:hAnsi="仿宋" w:eastAsia="仿宋"/>
          <w:sz w:val="28"/>
          <w:szCs w:val="28"/>
        </w:rPr>
        <w:t>万元，占本年财政拨款支出7.8%，基本支出用于：工资福利支出、对个人和家庭补助、商品和服务支出；</w:t>
      </w:r>
      <w:r>
        <w:rPr>
          <w:rFonts w:hint="eastAsia" w:ascii="仿宋" w:hAnsi="仿宋" w:eastAsia="仿宋"/>
          <w:b/>
          <w:bCs/>
          <w:sz w:val="28"/>
          <w:szCs w:val="28"/>
        </w:rPr>
        <w:t>项目支出</w:t>
      </w:r>
      <w:r>
        <w:rPr>
          <w:rFonts w:hint="eastAsia" w:ascii="仿宋" w:hAnsi="仿宋" w:eastAsia="仿宋"/>
          <w:sz w:val="28"/>
          <w:szCs w:val="28"/>
        </w:rPr>
        <w:t>1783.83万元，占本年财政拨款支出92.20%,主要用于：招商引资支出、技术研究与开发支出、技术创新服务支出、涉外发展服务支出、其他一般公共服务支出。</w:t>
      </w:r>
    </w:p>
    <w:p>
      <w:pPr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四、“三公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”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经费财政拨款支出决算说明</w:t>
      </w:r>
      <w:bookmarkStart w:id="0" w:name="_GoBack"/>
      <w:bookmarkEnd w:id="0"/>
    </w:p>
    <w:p>
      <w:pPr>
        <w:spacing w:line="560" w:lineRule="exact"/>
        <w:ind w:firstLine="51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“三公”经费一般公共预算财政拨款支出情况</w:t>
      </w:r>
    </w:p>
    <w:p>
      <w:pPr>
        <w:spacing w:line="560" w:lineRule="exact"/>
        <w:ind w:firstLine="51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汕尾新区管理委员会</w:t>
      </w:r>
      <w:r>
        <w:rPr>
          <w:rFonts w:hint="eastAsia" w:ascii="仿宋" w:hAnsi="仿宋" w:eastAsia="仿宋"/>
          <w:sz w:val="28"/>
          <w:szCs w:val="28"/>
        </w:rPr>
        <w:t>2016年度“三公”经费支出决算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5.76</w:t>
      </w:r>
      <w:r>
        <w:rPr>
          <w:rFonts w:hint="eastAsia" w:ascii="仿宋" w:hAnsi="仿宋" w:eastAsia="仿宋"/>
          <w:sz w:val="28"/>
          <w:szCs w:val="28"/>
        </w:rPr>
        <w:t>万元，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支出决算数</w:t>
      </w:r>
      <w:r>
        <w:rPr>
          <w:rFonts w:hint="eastAsia" w:ascii="仿宋" w:hAnsi="仿宋" w:eastAsia="仿宋"/>
          <w:sz w:val="28"/>
          <w:szCs w:val="28"/>
        </w:rPr>
        <w:t>比2015年增加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4.58</w:t>
      </w:r>
      <w:r>
        <w:rPr>
          <w:rFonts w:hint="eastAsia" w:ascii="仿宋" w:hAnsi="仿宋" w:eastAsia="仿宋"/>
          <w:sz w:val="28"/>
          <w:szCs w:val="28"/>
        </w:rPr>
        <w:t>万元，增长388.96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%</w:t>
      </w:r>
      <w:r>
        <w:rPr>
          <w:rFonts w:hint="eastAsia" w:ascii="仿宋" w:hAnsi="仿宋" w:eastAsia="仿宋"/>
          <w:sz w:val="28"/>
          <w:szCs w:val="28"/>
        </w:rPr>
        <w:t xml:space="preserve">。其中：                     </w:t>
      </w:r>
    </w:p>
    <w:p>
      <w:pPr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1.因公出国（境）费决算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0</w:t>
      </w:r>
      <w:r>
        <w:rPr>
          <w:rFonts w:hint="eastAsia" w:ascii="仿宋" w:hAnsi="仿宋" w:eastAsia="仿宋"/>
          <w:b/>
          <w:sz w:val="28"/>
          <w:szCs w:val="28"/>
        </w:rPr>
        <w:t>万元，</w:t>
      </w:r>
      <w:r>
        <w:rPr>
          <w:rFonts w:hint="eastAsia" w:ascii="仿宋" w:hAnsi="仿宋" w:eastAsia="仿宋"/>
          <w:sz w:val="28"/>
          <w:szCs w:val="28"/>
        </w:rPr>
        <w:t>因公出国（境）费是指</w:t>
      </w:r>
      <w:r>
        <w:rPr>
          <w:rFonts w:hint="eastAsia" w:ascii="仿宋" w:hAnsi="仿宋" w:eastAsia="仿宋"/>
          <w:bCs/>
          <w:sz w:val="28"/>
          <w:szCs w:val="28"/>
        </w:rPr>
        <w:t>单位</w:t>
      </w:r>
      <w:r>
        <w:rPr>
          <w:rFonts w:hint="eastAsia" w:ascii="仿宋" w:hAnsi="仿宋" w:eastAsia="仿宋"/>
          <w:sz w:val="28"/>
          <w:szCs w:val="28"/>
        </w:rPr>
        <w:t>工作人员和专家公务出国（境）的住宿费、旅费、伙食补助费、杂费、培训费等支出,占“三公”经费总额的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0%，</w:t>
      </w:r>
      <w:r>
        <w:rPr>
          <w:rFonts w:hint="eastAsia" w:ascii="仿宋" w:hAnsi="仿宋" w:eastAsia="仿宋"/>
          <w:b/>
          <w:bCs/>
          <w:sz w:val="28"/>
          <w:szCs w:val="28"/>
        </w:rPr>
        <w:t>2016年度因公出国（境）费决算支出比2015年度减少（增加）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0</w:t>
      </w:r>
      <w:r>
        <w:rPr>
          <w:rFonts w:hint="eastAsia" w:ascii="仿宋" w:hAnsi="仿宋" w:eastAsia="仿宋"/>
          <w:b/>
          <w:bCs/>
          <w:sz w:val="28"/>
          <w:szCs w:val="28"/>
        </w:rPr>
        <w:t>万元，下降（增长）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2.公务用车购置及运行维护费决算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0</w:t>
      </w:r>
      <w:r>
        <w:rPr>
          <w:rFonts w:hint="eastAsia" w:ascii="仿宋" w:hAnsi="仿宋" w:eastAsia="仿宋"/>
          <w:b/>
          <w:sz w:val="28"/>
          <w:szCs w:val="28"/>
        </w:rPr>
        <w:t>万元。本部门机关的公务用车保有量为0辆。</w:t>
      </w:r>
      <w:r>
        <w:rPr>
          <w:rFonts w:hint="eastAsia" w:ascii="仿宋" w:hAnsi="仿宋" w:eastAsia="仿宋"/>
          <w:sz w:val="28"/>
          <w:szCs w:val="28"/>
        </w:rPr>
        <w:t>公务用车购置及运行维护费是指公务用车车辆购置支出（含车辆购置税）及公务用车租赁费、燃料费、维修费、过桥过路费、保险费、安全奖励费用等支出。占“三公”经费总额的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0%，其中：</w:t>
      </w:r>
      <w:r>
        <w:rPr>
          <w:rFonts w:hint="eastAsia" w:ascii="仿宋" w:hAnsi="仿宋" w:eastAsia="仿宋"/>
          <w:bCs/>
          <w:sz w:val="28"/>
          <w:szCs w:val="28"/>
        </w:rPr>
        <w:t>公务用车购置费</w:t>
      </w:r>
      <w:r>
        <w:rPr>
          <w:rFonts w:hint="eastAsia" w:ascii="仿宋" w:hAnsi="仿宋" w:eastAsia="仿宋"/>
          <w:sz w:val="28"/>
          <w:szCs w:val="28"/>
        </w:rPr>
        <w:t>0万元，用于更新购置0辆公务用车，</w:t>
      </w:r>
      <w:r>
        <w:rPr>
          <w:rFonts w:hint="eastAsia" w:ascii="仿宋" w:hAnsi="仿宋" w:eastAsia="仿宋"/>
          <w:bCs/>
          <w:sz w:val="28"/>
          <w:szCs w:val="28"/>
        </w:rPr>
        <w:t>公务用车运行维护费</w:t>
      </w:r>
      <w:r>
        <w:rPr>
          <w:rFonts w:hint="eastAsia" w:ascii="仿宋" w:hAnsi="仿宋" w:eastAsia="仿宋"/>
          <w:sz w:val="28"/>
          <w:szCs w:val="28"/>
        </w:rPr>
        <w:t>0万元。</w:t>
      </w:r>
      <w:r>
        <w:rPr>
          <w:rFonts w:hint="eastAsia" w:ascii="仿宋" w:hAnsi="仿宋" w:eastAsia="仿宋"/>
          <w:b/>
          <w:bCs/>
          <w:sz w:val="28"/>
          <w:szCs w:val="28"/>
        </w:rPr>
        <w:t>2016年度公务用车购置及运行维护费决算支出比2015年度减少（增加）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0</w:t>
      </w:r>
      <w:r>
        <w:rPr>
          <w:rFonts w:hint="eastAsia" w:ascii="仿宋" w:hAnsi="仿宋" w:eastAsia="仿宋"/>
          <w:b/>
          <w:bCs/>
          <w:sz w:val="28"/>
          <w:szCs w:val="28"/>
        </w:rPr>
        <w:t>万元，下降（增长）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3.公务接待费决算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5.76</w:t>
      </w:r>
      <w:r>
        <w:rPr>
          <w:rFonts w:hint="eastAsia" w:ascii="仿宋" w:hAnsi="仿宋" w:eastAsia="仿宋"/>
          <w:b/>
          <w:sz w:val="28"/>
          <w:szCs w:val="28"/>
        </w:rPr>
        <w:t>万元，</w:t>
      </w:r>
      <w:r>
        <w:rPr>
          <w:rFonts w:hint="eastAsia" w:ascii="仿宋" w:hAnsi="仿宋" w:eastAsia="仿宋"/>
          <w:sz w:val="28"/>
          <w:szCs w:val="28"/>
        </w:rPr>
        <w:t>公务接待费是指按规定开支的各类公务接待费用。主要用于召开会议、考察调研、学习交流、检查指导、请示汇报等公务活动中按规定接待发生的费用，包括交通、用餐、住宿等。占“三公”经费总额的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100%</w:t>
      </w:r>
      <w:r>
        <w:rPr>
          <w:rFonts w:hint="eastAsia" w:ascii="仿宋" w:hAnsi="仿宋" w:eastAsia="仿宋"/>
          <w:b/>
          <w:sz w:val="28"/>
          <w:szCs w:val="28"/>
        </w:rPr>
        <w:t>。2016年共接待国内来访批次145个，共1536人次。2016年度公务接待费决算支出比2015年度增加4.58万元，增长388.96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%</w:t>
      </w:r>
      <w:r>
        <w:rPr>
          <w:rFonts w:hint="eastAsia" w:ascii="仿宋" w:hAnsi="仿宋" w:eastAsia="仿宋"/>
          <w:b/>
          <w:sz w:val="28"/>
          <w:szCs w:val="28"/>
        </w:rPr>
        <w:t>。增长的主要原因是：2016年度加大招商引资力度，来园考察企业数量大幅增加，接待数量及人员大幅增长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五、政府采购支出情况说明</w:t>
      </w:r>
    </w:p>
    <w:p>
      <w:pPr>
        <w:adjustRightInd w:val="0"/>
        <w:snapToGrid w:val="0"/>
        <w:spacing w:line="560" w:lineRule="exact"/>
        <w:ind w:firstLine="645"/>
        <w:rPr>
          <w:rFonts w:hint="eastAsia" w:ascii="仿宋" w:hAnsi="仿宋" w:eastAsia="仿宋"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本部门2016年度以</w:t>
      </w:r>
      <w:r>
        <w:rPr>
          <w:rFonts w:hint="eastAsia" w:ascii="仿宋" w:hAnsi="仿宋" w:eastAsia="仿宋"/>
          <w:b/>
          <w:bCs/>
          <w:sz w:val="28"/>
          <w:szCs w:val="28"/>
        </w:rPr>
        <w:t>实际完成政府采购合同为准</w:t>
      </w:r>
      <w:r>
        <w:rPr>
          <w:rFonts w:hint="eastAsia" w:ascii="仿宋" w:hAnsi="仿宋" w:eastAsia="仿宋"/>
          <w:bCs/>
          <w:sz w:val="28"/>
          <w:szCs w:val="28"/>
        </w:rPr>
        <w:t>支出的政府采购金额950.77万元，其中：政府采购货物支出413.69万元，政府采购工程支出441.08万元，政府采购服务支出96万元。授予中小企业合同金额0万元，占政府采购支出总额的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0%，其中授予小微企业合同金额0万元，占政府采购支出总额的0%。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   六、主要的民生项目和重点支出项目的绩效评价结果情况说明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color w:val="666666"/>
          <w:sz w:val="28"/>
          <w:szCs w:val="28"/>
          <w:shd w:val="clear" w:color="auto" w:fill="FFFFFF"/>
        </w:rPr>
        <w:t>企业一站式服务平台：</w:t>
      </w:r>
      <w:r>
        <w:rPr>
          <w:rFonts w:ascii="仿宋" w:hAnsi="仿宋" w:eastAsia="仿宋"/>
          <w:color w:val="666666"/>
          <w:sz w:val="28"/>
          <w:szCs w:val="28"/>
          <w:shd w:val="clear" w:color="auto" w:fill="FFFFFF"/>
        </w:rPr>
        <w:t>对园区企业提供服务的“一站式”，方便企业获得园区资源和平台技术支持，同一个大厅的不同窗口就可以处理完所有的事务，完善对不同资源的整合，助推企业的孵化进程</w:t>
      </w: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color w:val="666666"/>
          <w:sz w:val="28"/>
          <w:szCs w:val="28"/>
          <w:shd w:val="clear" w:color="auto" w:fill="FFFFFF"/>
        </w:rPr>
        <w:t>企业网上综合服务平台：</w:t>
      </w: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搭建汕尾高新区企业综合服务网上门户，面向高新区所有入驻企业提供相关的信息服务。通过信息服务，对高新区所有入驻企业发展服务，提供各类中介服务机构服务。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color w:val="666666"/>
          <w:sz w:val="28"/>
          <w:szCs w:val="28"/>
          <w:shd w:val="clear" w:color="auto" w:fill="FFFFFF"/>
        </w:rPr>
        <w:t>企业创业孵化基地：</w:t>
      </w: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以市场为导向，采用现代企业和科技管理运营模式，培养壮大高新技术产业，现阶段园区在孵化企业6家。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color w:val="666666"/>
          <w:sz w:val="28"/>
          <w:szCs w:val="28"/>
          <w:shd w:val="clear" w:color="auto" w:fill="FFFFFF"/>
        </w:rPr>
        <w:t>企业产品展示中心：</w:t>
      </w: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依托汕尾高新区创业服务中心,</w:t>
      </w:r>
      <w:r>
        <w:rPr>
          <w:rFonts w:ascii="仿宋" w:hAnsi="仿宋" w:eastAsia="仿宋"/>
          <w:color w:val="666666"/>
          <w:sz w:val="28"/>
          <w:szCs w:val="28"/>
          <w:shd w:val="clear" w:color="auto" w:fill="FFFFFF"/>
        </w:rPr>
        <w:t>设计全柔性的多功能展厅</w:t>
      </w: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/>
          <w:color w:val="666666"/>
          <w:sz w:val="28"/>
          <w:szCs w:val="28"/>
          <w:shd w:val="clear" w:color="auto" w:fill="FFFFFF"/>
        </w:rPr>
        <w:t>展厅这一公共服务平台的宣传效用，帮助企业充分展示企业形象、推广企业品牌、提升企业知名度和美誉度</w:t>
      </w:r>
      <w:r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  <w:t>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color w:val="666666"/>
          <w:sz w:val="28"/>
          <w:szCs w:val="28"/>
          <w:shd w:val="clear" w:color="auto" w:fill="FFFFFF"/>
        </w:rPr>
      </w:pPr>
    </w:p>
    <w:sectPr>
      <w:pgSz w:w="11906" w:h="16838"/>
      <w:pgMar w:top="1247" w:right="1191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83DD2"/>
    <w:multiLevelType w:val="singleLevel"/>
    <w:tmpl w:val="58083DD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083E53"/>
    <w:multiLevelType w:val="singleLevel"/>
    <w:tmpl w:val="58083E53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8083E61"/>
    <w:multiLevelType w:val="singleLevel"/>
    <w:tmpl w:val="58083E6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19"/>
    <w:rsid w:val="00004ACB"/>
    <w:rsid w:val="00033219"/>
    <w:rsid w:val="00034D24"/>
    <w:rsid w:val="00055904"/>
    <w:rsid w:val="00093BB7"/>
    <w:rsid w:val="000A0221"/>
    <w:rsid w:val="001117B0"/>
    <w:rsid w:val="00144DB3"/>
    <w:rsid w:val="00234226"/>
    <w:rsid w:val="00237303"/>
    <w:rsid w:val="00462C8B"/>
    <w:rsid w:val="004C317B"/>
    <w:rsid w:val="004E2BC8"/>
    <w:rsid w:val="00521BE1"/>
    <w:rsid w:val="00550F64"/>
    <w:rsid w:val="005F64B3"/>
    <w:rsid w:val="006622CE"/>
    <w:rsid w:val="00672537"/>
    <w:rsid w:val="00711F04"/>
    <w:rsid w:val="00757E32"/>
    <w:rsid w:val="008047D0"/>
    <w:rsid w:val="008642BD"/>
    <w:rsid w:val="00885C9E"/>
    <w:rsid w:val="008A3F46"/>
    <w:rsid w:val="008B1F2F"/>
    <w:rsid w:val="008C7B85"/>
    <w:rsid w:val="008F555E"/>
    <w:rsid w:val="008F7CA3"/>
    <w:rsid w:val="00906B50"/>
    <w:rsid w:val="009134AA"/>
    <w:rsid w:val="009377E0"/>
    <w:rsid w:val="00973DD2"/>
    <w:rsid w:val="0099727E"/>
    <w:rsid w:val="009D1978"/>
    <w:rsid w:val="00AB2C3F"/>
    <w:rsid w:val="00B20BC1"/>
    <w:rsid w:val="00BD3B33"/>
    <w:rsid w:val="00BF4EF0"/>
    <w:rsid w:val="00C60226"/>
    <w:rsid w:val="00E7610F"/>
    <w:rsid w:val="00ED3840"/>
    <w:rsid w:val="00F94D5D"/>
    <w:rsid w:val="00FF4802"/>
    <w:rsid w:val="01087F1A"/>
    <w:rsid w:val="05C979C2"/>
    <w:rsid w:val="08C958D2"/>
    <w:rsid w:val="0B5E6643"/>
    <w:rsid w:val="0BC33752"/>
    <w:rsid w:val="0F7546F6"/>
    <w:rsid w:val="0F762D58"/>
    <w:rsid w:val="12687600"/>
    <w:rsid w:val="13A6253D"/>
    <w:rsid w:val="15AE3896"/>
    <w:rsid w:val="1AC24334"/>
    <w:rsid w:val="1B060798"/>
    <w:rsid w:val="1F0D2569"/>
    <w:rsid w:val="1F9F0EC3"/>
    <w:rsid w:val="20C74D1E"/>
    <w:rsid w:val="22120068"/>
    <w:rsid w:val="23F945F2"/>
    <w:rsid w:val="24B05027"/>
    <w:rsid w:val="24E13F3D"/>
    <w:rsid w:val="26241598"/>
    <w:rsid w:val="286247AD"/>
    <w:rsid w:val="2A9F429A"/>
    <w:rsid w:val="2C34467D"/>
    <w:rsid w:val="2DE27315"/>
    <w:rsid w:val="37940A51"/>
    <w:rsid w:val="382E6680"/>
    <w:rsid w:val="384E79CB"/>
    <w:rsid w:val="398C5EE7"/>
    <w:rsid w:val="3A2A5BCC"/>
    <w:rsid w:val="3CBC245F"/>
    <w:rsid w:val="3E5058C6"/>
    <w:rsid w:val="41CA7DA8"/>
    <w:rsid w:val="432F016E"/>
    <w:rsid w:val="4D9D162C"/>
    <w:rsid w:val="4EAA6B2D"/>
    <w:rsid w:val="51AB7E88"/>
    <w:rsid w:val="52DC154A"/>
    <w:rsid w:val="53127AA1"/>
    <w:rsid w:val="54B87316"/>
    <w:rsid w:val="55E03A16"/>
    <w:rsid w:val="5670208E"/>
    <w:rsid w:val="5A837F8D"/>
    <w:rsid w:val="5BD81232"/>
    <w:rsid w:val="5BF86BB8"/>
    <w:rsid w:val="650D0B3E"/>
    <w:rsid w:val="6609461C"/>
    <w:rsid w:val="666D7EC6"/>
    <w:rsid w:val="67520D2C"/>
    <w:rsid w:val="6755138A"/>
    <w:rsid w:val="676C5ACD"/>
    <w:rsid w:val="67DA1A58"/>
    <w:rsid w:val="68220429"/>
    <w:rsid w:val="684979D1"/>
    <w:rsid w:val="689E7F11"/>
    <w:rsid w:val="69BB67E8"/>
    <w:rsid w:val="6C371DD7"/>
    <w:rsid w:val="6C3B6C40"/>
    <w:rsid w:val="6E632881"/>
    <w:rsid w:val="73A2215B"/>
    <w:rsid w:val="789668F3"/>
    <w:rsid w:val="7A6E548D"/>
    <w:rsid w:val="7AA16382"/>
    <w:rsid w:val="7DC45A4D"/>
    <w:rsid w:val="7F2C6684"/>
    <w:rsid w:val="7FFF8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288</Words>
  <Characters>1643</Characters>
  <Lines>13</Lines>
  <Paragraphs>3</Paragraphs>
  <TotalTime>1</TotalTime>
  <ScaleCrop>false</ScaleCrop>
  <LinksUpToDate>false</LinksUpToDate>
  <CharactersWithSpaces>1928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2016-12-27T13:52:00Z</dcterms:created>
  <dc:creator>YSG-05</dc:creator>
  <cp:lastModifiedBy>zonghebu2</cp:lastModifiedBy>
  <cp:lastPrinted>2017-08-21T09:44:00Z</cp:lastPrinted>
  <dcterms:modified xsi:type="dcterms:W3CDTF">2024-12-25T16:43:32Z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